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61C2" w:rsidRDefault="00894202" w:rsidP="00894202">
      <w:pPr>
        <w:spacing w:after="0" w:line="240" w:lineRule="auto"/>
        <w:rPr>
          <w:rFonts w:asciiTheme="majorHAnsi" w:hAnsiTheme="majorHAnsi"/>
          <w:b/>
          <w:sz w:val="24"/>
          <w:szCs w:val="24"/>
        </w:rPr>
      </w:pPr>
      <w:r>
        <w:rPr>
          <w:rFonts w:asciiTheme="majorHAnsi" w:hAnsiTheme="majorHAnsi"/>
          <w:b/>
          <w:sz w:val="24"/>
          <w:szCs w:val="24"/>
        </w:rPr>
        <w:t>APC minutes, November 2, 2011</w:t>
      </w:r>
      <w:r w:rsidR="00024671">
        <w:rPr>
          <w:rFonts w:asciiTheme="majorHAnsi" w:hAnsiTheme="majorHAnsi"/>
          <w:b/>
          <w:sz w:val="24"/>
          <w:szCs w:val="24"/>
        </w:rPr>
        <w:t>; 1:00pm – 2:00pm</w:t>
      </w:r>
    </w:p>
    <w:p w:rsidR="00894202" w:rsidRDefault="00894202" w:rsidP="00894202">
      <w:pPr>
        <w:spacing w:after="0" w:line="240" w:lineRule="auto"/>
        <w:rPr>
          <w:rFonts w:asciiTheme="majorHAnsi" w:hAnsiTheme="majorHAnsi"/>
          <w:b/>
          <w:sz w:val="24"/>
          <w:szCs w:val="24"/>
        </w:rPr>
      </w:pPr>
    </w:p>
    <w:p w:rsidR="00894202" w:rsidRPr="00102323" w:rsidRDefault="00894202" w:rsidP="00894202">
      <w:pPr>
        <w:spacing w:after="0" w:line="240" w:lineRule="auto"/>
        <w:rPr>
          <w:rFonts w:asciiTheme="majorHAnsi" w:hAnsiTheme="majorHAnsi"/>
          <w:sz w:val="24"/>
          <w:szCs w:val="24"/>
          <w:u w:val="single"/>
        </w:rPr>
      </w:pPr>
      <w:r w:rsidRPr="00102323">
        <w:rPr>
          <w:rFonts w:asciiTheme="majorHAnsi" w:hAnsiTheme="majorHAnsi"/>
          <w:sz w:val="24"/>
          <w:szCs w:val="24"/>
          <w:u w:val="single"/>
        </w:rPr>
        <w:t>In attendance:</w:t>
      </w:r>
    </w:p>
    <w:p w:rsidR="00894202" w:rsidRDefault="00894202" w:rsidP="00894202">
      <w:pPr>
        <w:spacing w:after="0" w:line="240" w:lineRule="auto"/>
        <w:rPr>
          <w:rFonts w:asciiTheme="majorHAnsi" w:hAnsiTheme="majorHAnsi"/>
          <w:sz w:val="24"/>
          <w:szCs w:val="24"/>
        </w:rPr>
      </w:pPr>
      <w:r>
        <w:rPr>
          <w:rFonts w:asciiTheme="majorHAnsi" w:hAnsiTheme="majorHAnsi"/>
          <w:sz w:val="24"/>
          <w:szCs w:val="24"/>
        </w:rPr>
        <w:t>Lisa Buckley</w:t>
      </w:r>
    </w:p>
    <w:p w:rsidR="00894202" w:rsidRDefault="00894202" w:rsidP="00894202">
      <w:pPr>
        <w:spacing w:after="0" w:line="240" w:lineRule="auto"/>
        <w:rPr>
          <w:rFonts w:asciiTheme="majorHAnsi" w:hAnsiTheme="majorHAnsi"/>
          <w:sz w:val="24"/>
          <w:szCs w:val="24"/>
        </w:rPr>
      </w:pPr>
      <w:r>
        <w:rPr>
          <w:rFonts w:asciiTheme="majorHAnsi" w:hAnsiTheme="majorHAnsi"/>
          <w:sz w:val="24"/>
          <w:szCs w:val="24"/>
        </w:rPr>
        <w:t>Sean Mattie</w:t>
      </w:r>
    </w:p>
    <w:p w:rsidR="00894202" w:rsidRDefault="00894202" w:rsidP="00894202">
      <w:pPr>
        <w:spacing w:after="0" w:line="240" w:lineRule="auto"/>
        <w:rPr>
          <w:rFonts w:asciiTheme="majorHAnsi" w:hAnsiTheme="majorHAnsi"/>
          <w:sz w:val="24"/>
          <w:szCs w:val="24"/>
        </w:rPr>
      </w:pPr>
      <w:r>
        <w:rPr>
          <w:rFonts w:asciiTheme="majorHAnsi" w:hAnsiTheme="majorHAnsi"/>
          <w:sz w:val="24"/>
          <w:szCs w:val="24"/>
        </w:rPr>
        <w:t>Barbara Musolf</w:t>
      </w:r>
    </w:p>
    <w:p w:rsidR="00894202" w:rsidRDefault="00894202" w:rsidP="00894202">
      <w:pPr>
        <w:spacing w:after="0" w:line="240" w:lineRule="auto"/>
        <w:rPr>
          <w:rFonts w:asciiTheme="majorHAnsi" w:hAnsiTheme="majorHAnsi"/>
          <w:sz w:val="24"/>
          <w:szCs w:val="24"/>
        </w:rPr>
      </w:pPr>
      <w:r>
        <w:rPr>
          <w:rFonts w:asciiTheme="majorHAnsi" w:hAnsiTheme="majorHAnsi"/>
          <w:sz w:val="24"/>
          <w:szCs w:val="24"/>
        </w:rPr>
        <w:t>Anthony Stinson</w:t>
      </w:r>
    </w:p>
    <w:p w:rsidR="00894202" w:rsidRDefault="00894202" w:rsidP="00894202">
      <w:pPr>
        <w:spacing w:after="0" w:line="240" w:lineRule="auto"/>
        <w:rPr>
          <w:rFonts w:asciiTheme="majorHAnsi" w:hAnsiTheme="majorHAnsi"/>
          <w:sz w:val="24"/>
          <w:szCs w:val="24"/>
        </w:rPr>
      </w:pPr>
      <w:r>
        <w:rPr>
          <w:rFonts w:asciiTheme="majorHAnsi" w:hAnsiTheme="majorHAnsi"/>
          <w:sz w:val="24"/>
          <w:szCs w:val="24"/>
        </w:rPr>
        <w:t>Scott Butterfield</w:t>
      </w:r>
    </w:p>
    <w:p w:rsidR="00894202" w:rsidRDefault="00894202" w:rsidP="00894202">
      <w:pPr>
        <w:spacing w:after="0" w:line="240" w:lineRule="auto"/>
        <w:rPr>
          <w:rFonts w:asciiTheme="majorHAnsi" w:hAnsiTheme="majorHAnsi"/>
          <w:sz w:val="24"/>
          <w:szCs w:val="24"/>
        </w:rPr>
      </w:pPr>
      <w:r>
        <w:rPr>
          <w:rFonts w:asciiTheme="majorHAnsi" w:hAnsiTheme="majorHAnsi"/>
          <w:sz w:val="24"/>
          <w:szCs w:val="24"/>
        </w:rPr>
        <w:t>Terri Summers</w:t>
      </w:r>
    </w:p>
    <w:p w:rsidR="00E45D56" w:rsidRDefault="00E45D56" w:rsidP="00894202">
      <w:pPr>
        <w:spacing w:after="0" w:line="240" w:lineRule="auto"/>
        <w:rPr>
          <w:rFonts w:asciiTheme="majorHAnsi" w:hAnsiTheme="majorHAnsi"/>
          <w:sz w:val="24"/>
          <w:szCs w:val="24"/>
        </w:rPr>
      </w:pPr>
    </w:p>
    <w:p w:rsidR="00E45D56" w:rsidRDefault="00E45D56" w:rsidP="00024671">
      <w:pPr>
        <w:pStyle w:val="ListParagraph"/>
        <w:numPr>
          <w:ilvl w:val="0"/>
          <w:numId w:val="1"/>
        </w:numPr>
        <w:spacing w:after="0" w:line="240" w:lineRule="auto"/>
        <w:ind w:left="360" w:hanging="360"/>
        <w:rPr>
          <w:rFonts w:asciiTheme="majorHAnsi" w:hAnsiTheme="majorHAnsi"/>
          <w:sz w:val="24"/>
          <w:szCs w:val="24"/>
        </w:rPr>
      </w:pPr>
      <w:r>
        <w:rPr>
          <w:rFonts w:asciiTheme="majorHAnsi" w:hAnsiTheme="majorHAnsi"/>
          <w:sz w:val="24"/>
          <w:szCs w:val="24"/>
        </w:rPr>
        <w:t xml:space="preserve">The committee set the </w:t>
      </w:r>
      <w:r w:rsidR="00024671">
        <w:rPr>
          <w:rFonts w:asciiTheme="majorHAnsi" w:hAnsiTheme="majorHAnsi"/>
          <w:sz w:val="24"/>
          <w:szCs w:val="24"/>
        </w:rPr>
        <w:t xml:space="preserve">date of the </w:t>
      </w:r>
      <w:r>
        <w:rPr>
          <w:rFonts w:asciiTheme="majorHAnsi" w:hAnsiTheme="majorHAnsi"/>
          <w:sz w:val="24"/>
          <w:szCs w:val="24"/>
        </w:rPr>
        <w:t>next meeting for Monday, November 28th, from 1 – 2pm, in room T215</w:t>
      </w:r>
    </w:p>
    <w:p w:rsidR="00102323" w:rsidRDefault="00102323" w:rsidP="00024671">
      <w:pPr>
        <w:pStyle w:val="ListParagraph"/>
        <w:spacing w:after="0" w:line="240" w:lineRule="auto"/>
        <w:ind w:left="360" w:hanging="360"/>
        <w:rPr>
          <w:rFonts w:asciiTheme="majorHAnsi" w:hAnsiTheme="majorHAnsi"/>
          <w:sz w:val="24"/>
          <w:szCs w:val="24"/>
        </w:rPr>
      </w:pPr>
    </w:p>
    <w:p w:rsidR="00E45D56" w:rsidRDefault="00E45D56" w:rsidP="00024671">
      <w:pPr>
        <w:pStyle w:val="ListParagraph"/>
        <w:numPr>
          <w:ilvl w:val="0"/>
          <w:numId w:val="1"/>
        </w:numPr>
        <w:spacing w:after="0" w:line="240" w:lineRule="auto"/>
        <w:ind w:left="360" w:hanging="360"/>
        <w:rPr>
          <w:rFonts w:asciiTheme="majorHAnsi" w:hAnsiTheme="majorHAnsi"/>
          <w:sz w:val="24"/>
          <w:szCs w:val="24"/>
        </w:rPr>
      </w:pPr>
      <w:r>
        <w:rPr>
          <w:rFonts w:asciiTheme="majorHAnsi" w:hAnsiTheme="majorHAnsi"/>
          <w:sz w:val="24"/>
          <w:szCs w:val="24"/>
        </w:rPr>
        <w:t>The APC reviewed Mark Dadonna’s revised Academic Standing policy.  The committee accepts and approves of the proposed changes to the policy, with one caveat, where we recommend change.</w:t>
      </w:r>
    </w:p>
    <w:p w:rsidR="00E45D56" w:rsidRPr="00102323" w:rsidRDefault="00E45D56" w:rsidP="00024671">
      <w:pPr>
        <w:spacing w:after="0" w:line="240" w:lineRule="auto"/>
        <w:ind w:left="360" w:firstLine="360"/>
        <w:rPr>
          <w:rFonts w:asciiTheme="majorHAnsi" w:hAnsiTheme="majorHAnsi"/>
          <w:sz w:val="24"/>
          <w:szCs w:val="24"/>
        </w:rPr>
      </w:pPr>
      <w:r w:rsidRPr="00102323">
        <w:rPr>
          <w:rFonts w:asciiTheme="majorHAnsi" w:hAnsiTheme="majorHAnsi"/>
          <w:sz w:val="24"/>
          <w:szCs w:val="24"/>
        </w:rPr>
        <w:t xml:space="preserve">Particularly, under Academic Probation, the policy states “Students on probation must contact their academic advisors, the Center for Academic Success, and/or Counseling and Psychological Services to receive additional information and assistance.”  The APC expressed two concerns about this requirement:  first, as it is academic probation, we recommend that contact with academic advisors and the CAS be required; the current wording allows satisfaction of this requirement by attending Counseling and Psychological Services alone.  More importantly, however the APC expressed concerns about a counseling session meeting this official requirement; enforcement would interfere with a student’s right to confidentiality regarding consultations with counselors.   </w:t>
      </w:r>
      <w:r w:rsidR="00102323" w:rsidRPr="00102323">
        <w:rPr>
          <w:rFonts w:asciiTheme="majorHAnsi" w:hAnsiTheme="majorHAnsi"/>
          <w:sz w:val="24"/>
          <w:szCs w:val="24"/>
        </w:rPr>
        <w:t>The APC thus resolved to send the following comments to Mark Dadonna:</w:t>
      </w:r>
    </w:p>
    <w:p w:rsidR="00102323" w:rsidRDefault="00102323" w:rsidP="00024671">
      <w:pPr>
        <w:pStyle w:val="ListParagraph"/>
        <w:spacing w:after="0" w:line="240" w:lineRule="auto"/>
        <w:ind w:left="360"/>
        <w:rPr>
          <w:color w:val="FF0000"/>
        </w:rPr>
      </w:pPr>
    </w:p>
    <w:p w:rsidR="00102323" w:rsidRDefault="00102323" w:rsidP="00024671">
      <w:pPr>
        <w:pStyle w:val="ListParagraph"/>
        <w:spacing w:after="0" w:line="240" w:lineRule="auto"/>
        <w:ind w:left="360"/>
        <w:rPr>
          <w:color w:val="FF0000"/>
        </w:rPr>
      </w:pPr>
      <w:r w:rsidRPr="00102323">
        <w:rPr>
          <w:color w:val="FF0000"/>
        </w:rPr>
        <w:t>Please clarify the language and intent behind this language in “Academic Probation”:</w:t>
      </w:r>
    </w:p>
    <w:p w:rsidR="00102323" w:rsidRPr="00102323" w:rsidRDefault="00102323" w:rsidP="00024671">
      <w:pPr>
        <w:pStyle w:val="ListParagraph"/>
        <w:spacing w:after="0" w:line="240" w:lineRule="auto"/>
        <w:ind w:left="360"/>
        <w:rPr>
          <w:color w:val="FF0000"/>
        </w:rPr>
      </w:pPr>
    </w:p>
    <w:p w:rsidR="00102323" w:rsidRPr="00102323" w:rsidRDefault="00102323" w:rsidP="00024671">
      <w:pPr>
        <w:pStyle w:val="ListParagraph"/>
        <w:spacing w:after="0" w:line="240" w:lineRule="auto"/>
        <w:ind w:left="360"/>
        <w:rPr>
          <w:color w:val="FF0000"/>
        </w:rPr>
      </w:pPr>
      <w:r w:rsidRPr="00102323">
        <w:rPr>
          <w:color w:val="FF0000"/>
        </w:rPr>
        <w:t>“Students on probation must contact their academic advisors, the Center for Academic Success, and/or Counseling and Psychological Services to receive additional information and assistance.”</w:t>
      </w:r>
    </w:p>
    <w:p w:rsidR="00102323" w:rsidRDefault="00102323" w:rsidP="00024671">
      <w:pPr>
        <w:pStyle w:val="ListParagraph"/>
        <w:spacing w:after="0" w:line="240" w:lineRule="auto"/>
        <w:ind w:left="360"/>
        <w:rPr>
          <w:color w:val="FF0000"/>
        </w:rPr>
      </w:pPr>
    </w:p>
    <w:p w:rsidR="00102323" w:rsidRPr="00102323" w:rsidRDefault="00102323" w:rsidP="00024671">
      <w:pPr>
        <w:pStyle w:val="ListParagraph"/>
        <w:spacing w:after="0" w:line="240" w:lineRule="auto"/>
        <w:ind w:left="360"/>
        <w:rPr>
          <w:color w:val="FF0000"/>
        </w:rPr>
      </w:pPr>
      <w:r w:rsidRPr="00102323">
        <w:rPr>
          <w:color w:val="FF0000"/>
        </w:rPr>
        <w:t>Possibly replace it with:</w:t>
      </w:r>
    </w:p>
    <w:p w:rsidR="00102323" w:rsidRPr="00102323" w:rsidRDefault="00102323" w:rsidP="00024671">
      <w:pPr>
        <w:pStyle w:val="ListParagraph"/>
        <w:spacing w:after="0" w:line="240" w:lineRule="auto"/>
        <w:ind w:left="360"/>
        <w:rPr>
          <w:color w:val="FF0000"/>
        </w:rPr>
      </w:pPr>
      <w:r w:rsidRPr="00102323">
        <w:rPr>
          <w:i/>
          <w:iCs/>
          <w:color w:val="FF0000"/>
        </w:rPr>
        <w:t>To receive additional information and assistance, students on probation must contact their academic advisers, and the Center for Academic Success, who in their best judgment may recommend Counseling and Psychological Services</w:t>
      </w:r>
      <w:r w:rsidRPr="00102323">
        <w:rPr>
          <w:color w:val="FF0000"/>
        </w:rPr>
        <w:t>.</w:t>
      </w:r>
    </w:p>
    <w:p w:rsidR="00102323" w:rsidRPr="00102323" w:rsidRDefault="00102323" w:rsidP="00024671">
      <w:pPr>
        <w:pStyle w:val="ListParagraph"/>
        <w:spacing w:after="0" w:line="240" w:lineRule="auto"/>
        <w:ind w:left="360"/>
        <w:rPr>
          <w:color w:val="FF0000"/>
        </w:rPr>
      </w:pPr>
    </w:p>
    <w:p w:rsidR="00102323" w:rsidRDefault="00102323" w:rsidP="00024671">
      <w:pPr>
        <w:pStyle w:val="ListParagraph"/>
        <w:spacing w:after="0" w:line="240" w:lineRule="auto"/>
        <w:ind w:left="360"/>
        <w:rPr>
          <w:color w:val="FF0000"/>
        </w:rPr>
      </w:pPr>
      <w:r w:rsidRPr="00102323">
        <w:rPr>
          <w:color w:val="FF0000"/>
        </w:rPr>
        <w:t>The APC proposes this change in language or policy due to concerns about confidentiality and student privacy when dealing with Counseling and Psychological Services.</w:t>
      </w:r>
    </w:p>
    <w:p w:rsidR="00102323" w:rsidRPr="00102323" w:rsidRDefault="00102323" w:rsidP="00024671">
      <w:pPr>
        <w:pStyle w:val="ListParagraph"/>
        <w:ind w:left="360" w:hanging="360"/>
        <w:rPr>
          <w:color w:val="FF0000"/>
        </w:rPr>
      </w:pPr>
    </w:p>
    <w:p w:rsidR="00E45D56" w:rsidRDefault="00E45D56" w:rsidP="00024671">
      <w:pPr>
        <w:pStyle w:val="ListParagraph"/>
        <w:numPr>
          <w:ilvl w:val="0"/>
          <w:numId w:val="1"/>
        </w:numPr>
        <w:spacing w:after="0" w:line="240" w:lineRule="auto"/>
        <w:ind w:left="360" w:hanging="360"/>
        <w:rPr>
          <w:rFonts w:asciiTheme="majorHAnsi" w:hAnsiTheme="majorHAnsi"/>
          <w:sz w:val="24"/>
          <w:szCs w:val="24"/>
        </w:rPr>
      </w:pPr>
      <w:r>
        <w:rPr>
          <w:rFonts w:asciiTheme="majorHAnsi" w:hAnsiTheme="majorHAnsi"/>
          <w:sz w:val="24"/>
          <w:szCs w:val="24"/>
        </w:rPr>
        <w:t xml:space="preserve">The APC re-addressed the issue of plagiarism.  We agreed that faculty should continue to be encouraged to use the official channels when plagiarism or other academic misconduct is encountered.  </w:t>
      </w:r>
    </w:p>
    <w:p w:rsidR="00024671" w:rsidRDefault="00024671" w:rsidP="00024671">
      <w:pPr>
        <w:pStyle w:val="ListParagraph"/>
        <w:spacing w:after="0" w:line="240" w:lineRule="auto"/>
        <w:ind w:left="360"/>
        <w:rPr>
          <w:rFonts w:asciiTheme="majorHAnsi" w:hAnsiTheme="majorHAnsi"/>
          <w:sz w:val="24"/>
          <w:szCs w:val="24"/>
        </w:rPr>
      </w:pPr>
    </w:p>
    <w:p w:rsidR="00FB2A2F" w:rsidRDefault="00E45D56" w:rsidP="00024671">
      <w:pPr>
        <w:pStyle w:val="ListParagraph"/>
        <w:numPr>
          <w:ilvl w:val="1"/>
          <w:numId w:val="1"/>
        </w:numPr>
        <w:spacing w:after="0" w:line="240" w:lineRule="auto"/>
        <w:ind w:left="720"/>
        <w:rPr>
          <w:rFonts w:asciiTheme="majorHAnsi" w:hAnsiTheme="majorHAnsi"/>
          <w:sz w:val="24"/>
          <w:szCs w:val="24"/>
        </w:rPr>
      </w:pPr>
      <w:r>
        <w:rPr>
          <w:rFonts w:asciiTheme="majorHAnsi" w:hAnsiTheme="majorHAnsi"/>
          <w:sz w:val="24"/>
          <w:szCs w:val="24"/>
        </w:rPr>
        <w:lastRenderedPageBreak/>
        <w:t xml:space="preserve">The APC agreed that such cooperation from faculty would be easier to obtain if the procedures were more faculty-friendly.  Particularly, a preliminary proposal was discussed whereby the faculty member could collect evidence of academic misconduct, and submit it to the office of student conduct for completion of paperwork, etc.; such a policy would make this procedure optional for faculty, and leave open the option for faculty to follow the system as-is and complete the necessary paperwork themselves.  </w:t>
      </w:r>
    </w:p>
    <w:p w:rsidR="00E45D56" w:rsidRDefault="00E45D56" w:rsidP="00024671">
      <w:pPr>
        <w:pStyle w:val="ListParagraph"/>
        <w:numPr>
          <w:ilvl w:val="2"/>
          <w:numId w:val="1"/>
        </w:numPr>
        <w:spacing w:after="0" w:line="240" w:lineRule="auto"/>
        <w:ind w:left="1080" w:hanging="360"/>
        <w:rPr>
          <w:rFonts w:asciiTheme="majorHAnsi" w:hAnsiTheme="majorHAnsi"/>
          <w:sz w:val="24"/>
          <w:szCs w:val="24"/>
        </w:rPr>
      </w:pPr>
      <w:r>
        <w:rPr>
          <w:rFonts w:asciiTheme="majorHAnsi" w:hAnsiTheme="majorHAnsi"/>
          <w:sz w:val="24"/>
          <w:szCs w:val="24"/>
        </w:rPr>
        <w:t>The APC agreed that input from John Jacobs and the Office of Student Conduct was desirable at this stage in the discussion, and resolved to invite him to our next meeting to discuss the issue.</w:t>
      </w:r>
    </w:p>
    <w:p w:rsidR="00FB2A2F" w:rsidRDefault="00FB2A2F" w:rsidP="00024671">
      <w:pPr>
        <w:pStyle w:val="ListParagraph"/>
        <w:numPr>
          <w:ilvl w:val="2"/>
          <w:numId w:val="1"/>
        </w:numPr>
        <w:spacing w:after="0" w:line="240" w:lineRule="auto"/>
        <w:ind w:left="1080" w:hanging="360"/>
        <w:rPr>
          <w:rFonts w:asciiTheme="majorHAnsi" w:hAnsiTheme="majorHAnsi"/>
          <w:sz w:val="24"/>
          <w:szCs w:val="24"/>
        </w:rPr>
      </w:pPr>
      <w:r>
        <w:rPr>
          <w:rFonts w:asciiTheme="majorHAnsi" w:hAnsiTheme="majorHAnsi"/>
          <w:sz w:val="24"/>
          <w:szCs w:val="24"/>
        </w:rPr>
        <w:t>The APC further agreed that input from faculty around the campus on the issue was also desirable, and each member agreed to canvas his/her respective college in order to collect input on the process of reporting academic misconduct, and any problems faculty members have encountered when using the system as-is.</w:t>
      </w:r>
    </w:p>
    <w:p w:rsidR="00E45D56" w:rsidRDefault="00E45D56" w:rsidP="00024671">
      <w:pPr>
        <w:pStyle w:val="ListParagraph"/>
        <w:numPr>
          <w:ilvl w:val="1"/>
          <w:numId w:val="1"/>
        </w:numPr>
        <w:spacing w:after="0" w:line="240" w:lineRule="auto"/>
        <w:ind w:left="720"/>
        <w:rPr>
          <w:rFonts w:asciiTheme="majorHAnsi" w:hAnsiTheme="majorHAnsi"/>
          <w:sz w:val="24"/>
          <w:szCs w:val="24"/>
        </w:rPr>
      </w:pPr>
      <w:r>
        <w:rPr>
          <w:rFonts w:asciiTheme="majorHAnsi" w:hAnsiTheme="majorHAnsi"/>
          <w:sz w:val="24"/>
          <w:szCs w:val="24"/>
        </w:rPr>
        <w:t xml:space="preserve">Discussion ensued about whether the students are systematically introduced to the issue of plagiarism as entering freshmen; it was pointed out that the policy is in the Student Handbook, and the onus is on the student for educating his/herself on academic issues, and many professors do address the issue directly in class.  </w:t>
      </w:r>
      <w:r w:rsidR="00FB2A2F">
        <w:rPr>
          <w:rFonts w:asciiTheme="majorHAnsi" w:hAnsiTheme="majorHAnsi"/>
          <w:sz w:val="24"/>
          <w:szCs w:val="24"/>
        </w:rPr>
        <w:t>We agreed to discuss this matter with John Jacobs as well, to see if he presents the issue at student orientation.</w:t>
      </w:r>
    </w:p>
    <w:p w:rsidR="00024671" w:rsidRDefault="00024671" w:rsidP="00024671">
      <w:pPr>
        <w:pStyle w:val="ListParagraph"/>
        <w:spacing w:after="0" w:line="240" w:lineRule="auto"/>
        <w:rPr>
          <w:rFonts w:asciiTheme="majorHAnsi" w:hAnsiTheme="majorHAnsi"/>
          <w:sz w:val="24"/>
          <w:szCs w:val="24"/>
        </w:rPr>
      </w:pPr>
    </w:p>
    <w:p w:rsidR="00FB2A2F" w:rsidRDefault="00FB2A2F" w:rsidP="00024671">
      <w:pPr>
        <w:pStyle w:val="ListParagraph"/>
        <w:numPr>
          <w:ilvl w:val="0"/>
          <w:numId w:val="1"/>
        </w:numPr>
        <w:spacing w:after="0" w:line="240" w:lineRule="auto"/>
        <w:ind w:left="360" w:hanging="360"/>
        <w:rPr>
          <w:rFonts w:asciiTheme="majorHAnsi" w:hAnsiTheme="majorHAnsi"/>
          <w:sz w:val="24"/>
          <w:szCs w:val="24"/>
        </w:rPr>
      </w:pPr>
      <w:r>
        <w:rPr>
          <w:rFonts w:asciiTheme="majorHAnsi" w:hAnsiTheme="majorHAnsi"/>
          <w:sz w:val="24"/>
          <w:szCs w:val="24"/>
        </w:rPr>
        <w:t>The APC next discussed the issue of on-line declaration of minors and double-majors, to learn that the senate has passed resolution on this issue in a recent meeting.  From the senate minutes:</w:t>
      </w:r>
    </w:p>
    <w:p w:rsidR="00FB2A2F" w:rsidRDefault="00FB2A2F" w:rsidP="00024671">
      <w:pPr>
        <w:spacing w:after="0" w:line="240" w:lineRule="auto"/>
        <w:ind w:left="720"/>
        <w:rPr>
          <w:rFonts w:asciiTheme="majorHAnsi" w:hAnsiTheme="majorHAnsi"/>
          <w:sz w:val="24"/>
          <w:szCs w:val="24"/>
        </w:rPr>
      </w:pPr>
      <w:r>
        <w:rPr>
          <w:rFonts w:asciiTheme="majorHAnsi" w:hAnsiTheme="majorHAnsi"/>
          <w:sz w:val="24"/>
          <w:szCs w:val="24"/>
        </w:rPr>
        <w:t>“Motion to appoint Senate Chair Miller to request that Tom Marshall make it possible to declare a double major and minor in the Duck.  Motion was seconded and was unanimously passed.”</w:t>
      </w:r>
    </w:p>
    <w:p w:rsidR="00024671" w:rsidRDefault="00024671" w:rsidP="00024671">
      <w:pPr>
        <w:spacing w:after="0" w:line="240" w:lineRule="auto"/>
        <w:ind w:left="720"/>
        <w:rPr>
          <w:rFonts w:asciiTheme="majorHAnsi" w:hAnsiTheme="majorHAnsi"/>
          <w:sz w:val="24"/>
          <w:szCs w:val="24"/>
        </w:rPr>
      </w:pPr>
    </w:p>
    <w:p w:rsidR="00FB2A2F" w:rsidRDefault="00FB2A2F" w:rsidP="00024671">
      <w:pPr>
        <w:pStyle w:val="ListParagraph"/>
        <w:numPr>
          <w:ilvl w:val="0"/>
          <w:numId w:val="1"/>
        </w:numPr>
        <w:spacing w:after="0" w:line="240" w:lineRule="auto"/>
        <w:ind w:left="360" w:hanging="360"/>
        <w:rPr>
          <w:rFonts w:asciiTheme="majorHAnsi" w:hAnsiTheme="majorHAnsi"/>
          <w:sz w:val="24"/>
          <w:szCs w:val="24"/>
        </w:rPr>
      </w:pPr>
      <w:r>
        <w:rPr>
          <w:rFonts w:asciiTheme="majorHAnsi" w:hAnsiTheme="majorHAnsi"/>
          <w:sz w:val="24"/>
          <w:szCs w:val="24"/>
        </w:rPr>
        <w:t>The APC discussed the term of each of its members, and determined the end-date of each member as follows (terms were decided on a volunteer basis).</w:t>
      </w:r>
    </w:p>
    <w:p w:rsidR="00FB2A2F" w:rsidRDefault="00FB2A2F" w:rsidP="00024671">
      <w:pPr>
        <w:pStyle w:val="ListParagraph"/>
        <w:spacing w:after="0" w:line="240" w:lineRule="auto"/>
        <w:ind w:left="360" w:hanging="360"/>
        <w:rPr>
          <w:rFonts w:asciiTheme="majorHAnsi" w:hAnsiTheme="majorHAnsi"/>
          <w:sz w:val="24"/>
          <w:szCs w:val="24"/>
        </w:rPr>
      </w:pPr>
    </w:p>
    <w:p w:rsidR="00FB2A2F" w:rsidRDefault="00FB2A2F" w:rsidP="00024671">
      <w:pPr>
        <w:pStyle w:val="ListParagraph"/>
        <w:spacing w:after="0" w:line="240" w:lineRule="auto"/>
        <w:ind w:left="1080" w:hanging="360"/>
        <w:rPr>
          <w:rFonts w:asciiTheme="majorHAnsi" w:hAnsiTheme="majorHAnsi"/>
          <w:i/>
          <w:sz w:val="24"/>
          <w:szCs w:val="24"/>
        </w:rPr>
      </w:pPr>
      <w:r w:rsidRPr="00FB2A2F">
        <w:rPr>
          <w:rFonts w:asciiTheme="majorHAnsi" w:hAnsiTheme="majorHAnsi"/>
          <w:i/>
          <w:sz w:val="24"/>
          <w:szCs w:val="24"/>
        </w:rPr>
        <w:t>Member</w:t>
      </w:r>
      <w:r>
        <w:rPr>
          <w:rFonts w:asciiTheme="majorHAnsi" w:hAnsiTheme="majorHAnsi"/>
          <w:i/>
          <w:sz w:val="24"/>
          <w:szCs w:val="24"/>
        </w:rPr>
        <w:tab/>
      </w:r>
      <w:r>
        <w:rPr>
          <w:rFonts w:asciiTheme="majorHAnsi" w:hAnsiTheme="majorHAnsi"/>
          <w:i/>
          <w:sz w:val="24"/>
          <w:szCs w:val="24"/>
        </w:rPr>
        <w:tab/>
      </w:r>
      <w:r>
        <w:rPr>
          <w:rFonts w:asciiTheme="majorHAnsi" w:hAnsiTheme="majorHAnsi"/>
          <w:i/>
          <w:sz w:val="24"/>
          <w:szCs w:val="24"/>
        </w:rPr>
        <w:tab/>
      </w:r>
      <w:r>
        <w:rPr>
          <w:rFonts w:asciiTheme="majorHAnsi" w:hAnsiTheme="majorHAnsi"/>
          <w:i/>
          <w:sz w:val="24"/>
          <w:szCs w:val="24"/>
        </w:rPr>
        <w:tab/>
        <w:t>Term ends</w:t>
      </w:r>
    </w:p>
    <w:p w:rsidR="00FB2A2F" w:rsidRDefault="00FB2A2F" w:rsidP="00024671">
      <w:pPr>
        <w:pStyle w:val="ListParagraph"/>
        <w:spacing w:after="0" w:line="240" w:lineRule="auto"/>
        <w:ind w:left="1080" w:hanging="360"/>
        <w:rPr>
          <w:rFonts w:asciiTheme="majorHAnsi" w:hAnsiTheme="majorHAnsi"/>
          <w:sz w:val="24"/>
          <w:szCs w:val="24"/>
        </w:rPr>
      </w:pPr>
      <w:r>
        <w:rPr>
          <w:rFonts w:asciiTheme="majorHAnsi" w:hAnsiTheme="majorHAnsi"/>
          <w:sz w:val="24"/>
          <w:szCs w:val="24"/>
        </w:rPr>
        <w:t>Sean Mattie</w:t>
      </w:r>
      <w:r>
        <w:rPr>
          <w:rFonts w:asciiTheme="majorHAnsi" w:hAnsiTheme="majorHAnsi"/>
          <w:sz w:val="24"/>
          <w:szCs w:val="24"/>
        </w:rPr>
        <w:tab/>
      </w:r>
      <w:r>
        <w:rPr>
          <w:rFonts w:asciiTheme="majorHAnsi" w:hAnsiTheme="majorHAnsi"/>
          <w:sz w:val="24"/>
          <w:szCs w:val="24"/>
        </w:rPr>
        <w:tab/>
      </w:r>
      <w:r w:rsidR="00024671">
        <w:rPr>
          <w:rFonts w:asciiTheme="majorHAnsi" w:hAnsiTheme="majorHAnsi"/>
          <w:sz w:val="24"/>
          <w:szCs w:val="24"/>
        </w:rPr>
        <w:tab/>
      </w:r>
      <w:r>
        <w:rPr>
          <w:rFonts w:asciiTheme="majorHAnsi" w:hAnsiTheme="majorHAnsi"/>
          <w:sz w:val="24"/>
          <w:szCs w:val="24"/>
        </w:rPr>
        <w:tab/>
        <w:t>Spring, 2012</w:t>
      </w:r>
    </w:p>
    <w:p w:rsidR="00FB2A2F" w:rsidRDefault="00FB2A2F" w:rsidP="00024671">
      <w:pPr>
        <w:pStyle w:val="ListParagraph"/>
        <w:spacing w:after="0" w:line="240" w:lineRule="auto"/>
        <w:ind w:left="1080" w:hanging="360"/>
        <w:rPr>
          <w:rFonts w:asciiTheme="majorHAnsi" w:hAnsiTheme="majorHAnsi"/>
          <w:sz w:val="24"/>
          <w:szCs w:val="24"/>
        </w:rPr>
      </w:pPr>
      <w:r>
        <w:rPr>
          <w:rFonts w:asciiTheme="majorHAnsi" w:hAnsiTheme="majorHAnsi"/>
          <w:sz w:val="24"/>
          <w:szCs w:val="24"/>
        </w:rPr>
        <w:t>Lisa Buckley</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sidR="00024671">
        <w:rPr>
          <w:rFonts w:asciiTheme="majorHAnsi" w:hAnsiTheme="majorHAnsi"/>
          <w:sz w:val="24"/>
          <w:szCs w:val="24"/>
        </w:rPr>
        <w:tab/>
      </w:r>
      <w:r>
        <w:rPr>
          <w:rFonts w:asciiTheme="majorHAnsi" w:hAnsiTheme="majorHAnsi"/>
          <w:sz w:val="24"/>
          <w:szCs w:val="24"/>
        </w:rPr>
        <w:t>Spring, 2012</w:t>
      </w:r>
    </w:p>
    <w:p w:rsidR="00FB2A2F" w:rsidRDefault="00FB2A2F" w:rsidP="00024671">
      <w:pPr>
        <w:pStyle w:val="ListParagraph"/>
        <w:spacing w:after="0" w:line="240" w:lineRule="auto"/>
        <w:ind w:left="1080" w:hanging="360"/>
        <w:rPr>
          <w:rFonts w:asciiTheme="majorHAnsi" w:hAnsiTheme="majorHAnsi"/>
          <w:sz w:val="24"/>
          <w:szCs w:val="24"/>
        </w:rPr>
      </w:pPr>
      <w:r>
        <w:rPr>
          <w:rFonts w:asciiTheme="majorHAnsi" w:hAnsiTheme="majorHAnsi"/>
          <w:sz w:val="24"/>
          <w:szCs w:val="24"/>
        </w:rPr>
        <w:t>Anthony Stinson</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Spring, 2013</w:t>
      </w:r>
    </w:p>
    <w:p w:rsidR="00FB2A2F" w:rsidRDefault="00FB2A2F" w:rsidP="00024671">
      <w:pPr>
        <w:pStyle w:val="ListParagraph"/>
        <w:spacing w:after="0" w:line="240" w:lineRule="auto"/>
        <w:ind w:left="1080" w:hanging="360"/>
        <w:rPr>
          <w:rFonts w:asciiTheme="majorHAnsi" w:hAnsiTheme="majorHAnsi"/>
          <w:sz w:val="24"/>
          <w:szCs w:val="24"/>
        </w:rPr>
      </w:pPr>
      <w:r>
        <w:rPr>
          <w:rFonts w:asciiTheme="majorHAnsi" w:hAnsiTheme="majorHAnsi"/>
          <w:sz w:val="24"/>
          <w:szCs w:val="24"/>
        </w:rPr>
        <w:t>Eunice Warren</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Spring, 2013</w:t>
      </w:r>
    </w:p>
    <w:p w:rsidR="00FB2A2F" w:rsidRDefault="00FB2A2F" w:rsidP="00024671">
      <w:pPr>
        <w:pStyle w:val="ListParagraph"/>
        <w:spacing w:after="0" w:line="240" w:lineRule="auto"/>
        <w:ind w:left="1080" w:hanging="360"/>
        <w:rPr>
          <w:rFonts w:asciiTheme="majorHAnsi" w:hAnsiTheme="majorHAnsi"/>
          <w:sz w:val="24"/>
          <w:szCs w:val="24"/>
        </w:rPr>
      </w:pPr>
      <w:r>
        <w:rPr>
          <w:rFonts w:asciiTheme="majorHAnsi" w:hAnsiTheme="majorHAnsi"/>
          <w:sz w:val="24"/>
          <w:szCs w:val="24"/>
        </w:rPr>
        <w:t>Scott Butterfield</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Spring, 2014</w:t>
      </w:r>
    </w:p>
    <w:p w:rsidR="00FB2A2F" w:rsidRDefault="00FB2A2F" w:rsidP="00024671">
      <w:pPr>
        <w:pStyle w:val="ListParagraph"/>
        <w:spacing w:after="0" w:line="240" w:lineRule="auto"/>
        <w:ind w:left="1080" w:hanging="360"/>
        <w:rPr>
          <w:rFonts w:asciiTheme="majorHAnsi" w:hAnsiTheme="majorHAnsi"/>
          <w:sz w:val="24"/>
          <w:szCs w:val="24"/>
        </w:rPr>
      </w:pPr>
      <w:r>
        <w:rPr>
          <w:rFonts w:asciiTheme="majorHAnsi" w:hAnsiTheme="majorHAnsi"/>
          <w:sz w:val="24"/>
          <w:szCs w:val="24"/>
        </w:rPr>
        <w:t>Elizabeth Bradshaw</w:t>
      </w:r>
      <w:r>
        <w:rPr>
          <w:rFonts w:asciiTheme="majorHAnsi" w:hAnsiTheme="majorHAnsi"/>
          <w:sz w:val="24"/>
          <w:szCs w:val="24"/>
        </w:rPr>
        <w:tab/>
      </w:r>
      <w:r w:rsidR="00024671">
        <w:rPr>
          <w:rFonts w:asciiTheme="majorHAnsi" w:hAnsiTheme="majorHAnsi"/>
          <w:sz w:val="24"/>
          <w:szCs w:val="24"/>
        </w:rPr>
        <w:tab/>
      </w:r>
      <w:r>
        <w:rPr>
          <w:rFonts w:asciiTheme="majorHAnsi" w:hAnsiTheme="majorHAnsi"/>
          <w:sz w:val="24"/>
          <w:szCs w:val="24"/>
        </w:rPr>
        <w:tab/>
        <w:t>Spring, 2014</w:t>
      </w:r>
    </w:p>
    <w:p w:rsidR="00FB2A2F" w:rsidRDefault="00FB2A2F" w:rsidP="00024671">
      <w:pPr>
        <w:pStyle w:val="ListParagraph"/>
        <w:spacing w:after="0" w:line="240" w:lineRule="auto"/>
        <w:ind w:left="360" w:hanging="360"/>
        <w:rPr>
          <w:rFonts w:asciiTheme="majorHAnsi" w:hAnsiTheme="majorHAnsi"/>
          <w:sz w:val="24"/>
          <w:szCs w:val="24"/>
        </w:rPr>
      </w:pPr>
    </w:p>
    <w:p w:rsidR="00FB2A2F" w:rsidRDefault="00FB2A2F" w:rsidP="00024671">
      <w:pPr>
        <w:pStyle w:val="ListParagraph"/>
        <w:spacing w:after="0" w:line="240" w:lineRule="auto"/>
        <w:ind w:left="360"/>
        <w:rPr>
          <w:rFonts w:asciiTheme="majorHAnsi" w:hAnsiTheme="majorHAnsi"/>
          <w:sz w:val="24"/>
          <w:szCs w:val="24"/>
        </w:rPr>
      </w:pPr>
      <w:r>
        <w:rPr>
          <w:rFonts w:asciiTheme="majorHAnsi" w:hAnsiTheme="majorHAnsi"/>
          <w:sz w:val="24"/>
          <w:szCs w:val="24"/>
        </w:rPr>
        <w:t>(Senate members are appointed by the Senate each academic year, and thus are not listed on this chart)</w:t>
      </w:r>
    </w:p>
    <w:p w:rsidR="00FB2A2F" w:rsidRPr="00024671" w:rsidRDefault="00FB2A2F" w:rsidP="00024671">
      <w:pPr>
        <w:spacing w:after="0" w:line="240" w:lineRule="auto"/>
        <w:rPr>
          <w:rFonts w:asciiTheme="majorHAnsi" w:hAnsiTheme="majorHAnsi"/>
          <w:sz w:val="24"/>
          <w:szCs w:val="24"/>
        </w:rPr>
      </w:pPr>
      <w:r w:rsidRPr="00024671">
        <w:rPr>
          <w:rFonts w:asciiTheme="majorHAnsi" w:hAnsiTheme="majorHAnsi"/>
          <w:sz w:val="24"/>
          <w:szCs w:val="24"/>
        </w:rPr>
        <w:t>Thus, it was determined that the College of Arts and Sciences shall elect two new members this academic year, to replace the A&amp;S representatives on the committee who are rotating off in 2012.</w:t>
      </w:r>
    </w:p>
    <w:p w:rsidR="00024671" w:rsidRDefault="00024671" w:rsidP="00102323">
      <w:pPr>
        <w:spacing w:after="0" w:line="240" w:lineRule="auto"/>
        <w:rPr>
          <w:rFonts w:asciiTheme="majorHAnsi" w:hAnsiTheme="majorHAnsi"/>
          <w:sz w:val="24"/>
          <w:szCs w:val="24"/>
        </w:rPr>
      </w:pPr>
    </w:p>
    <w:p w:rsidR="00FB2A2F" w:rsidRPr="00FB2A2F" w:rsidRDefault="00FB2A2F" w:rsidP="00102323">
      <w:pPr>
        <w:spacing w:after="0" w:line="240" w:lineRule="auto"/>
        <w:rPr>
          <w:rFonts w:asciiTheme="majorHAnsi" w:hAnsiTheme="majorHAnsi"/>
          <w:sz w:val="24"/>
          <w:szCs w:val="24"/>
        </w:rPr>
      </w:pPr>
      <w:r>
        <w:rPr>
          <w:rFonts w:asciiTheme="majorHAnsi" w:hAnsiTheme="majorHAnsi"/>
          <w:sz w:val="24"/>
          <w:szCs w:val="24"/>
        </w:rPr>
        <w:t>The meeting adjourned at 12:00.</w:t>
      </w:r>
      <w:r>
        <w:rPr>
          <w:rFonts w:asciiTheme="majorHAnsi" w:hAnsiTheme="majorHAnsi"/>
          <w:sz w:val="24"/>
          <w:szCs w:val="24"/>
        </w:rPr>
        <w:tab/>
      </w:r>
    </w:p>
    <w:sectPr w:rsidR="00FB2A2F" w:rsidRPr="00FB2A2F" w:rsidSect="009A61C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526153"/>
    <w:multiLevelType w:val="hybridMultilevel"/>
    <w:tmpl w:val="83C0EB56"/>
    <w:lvl w:ilvl="0" w:tplc="F54AA9C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894202"/>
    <w:rsid w:val="00024671"/>
    <w:rsid w:val="00102323"/>
    <w:rsid w:val="00894202"/>
    <w:rsid w:val="009A61C2"/>
    <w:rsid w:val="00C4681D"/>
    <w:rsid w:val="00E45D56"/>
    <w:rsid w:val="00FB2A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61C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5D56"/>
    <w:pPr>
      <w:ind w:left="720"/>
      <w:contextualSpacing/>
    </w:pPr>
  </w:style>
</w:styles>
</file>

<file path=word/webSettings.xml><?xml version="1.0" encoding="utf-8"?>
<w:webSettings xmlns:r="http://schemas.openxmlformats.org/officeDocument/2006/relationships" xmlns:w="http://schemas.openxmlformats.org/wordprocessingml/2006/main">
  <w:divs>
    <w:div w:id="707606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2</Pages>
  <Words>698</Words>
  <Characters>3983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Clayton State Univ</Company>
  <LinksUpToDate>false</LinksUpToDate>
  <CharactersWithSpaces>4672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Keele</dc:creator>
  <cp:keywords/>
  <dc:description/>
  <cp:lastModifiedBy>Lisa Keele</cp:lastModifiedBy>
  <cp:revision>3</cp:revision>
  <dcterms:created xsi:type="dcterms:W3CDTF">2011-11-02T18:01:00Z</dcterms:created>
  <dcterms:modified xsi:type="dcterms:W3CDTF">2011-11-02T20:22:00Z</dcterms:modified>
</cp:coreProperties>
</file>