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DE6" w:rsidRPr="00BD0AA9" w:rsidRDefault="00B30DE6" w:rsidP="00B30DE6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:rsidR="00B30DE6" w:rsidRPr="00BD0AA9" w:rsidRDefault="00B30DE6" w:rsidP="00B30DE6">
      <w:pPr>
        <w:jc w:val="center"/>
        <w:rPr>
          <w:b/>
        </w:rPr>
      </w:pPr>
      <w:r w:rsidRPr="00BD0AA9">
        <w:rPr>
          <w:b/>
        </w:rPr>
        <w:t xml:space="preserve">Undergraduate Curriculum Committee (UCC) </w:t>
      </w:r>
    </w:p>
    <w:p w:rsidR="008F276C" w:rsidRDefault="008F276C" w:rsidP="008F276C">
      <w:pPr>
        <w:jc w:val="center"/>
        <w:rPr>
          <w:b/>
          <w:caps/>
        </w:rPr>
      </w:pPr>
      <w:r>
        <w:rPr>
          <w:b/>
          <w:caps/>
        </w:rPr>
        <w:t>Agenda: November 11, 2022</w:t>
      </w:r>
    </w:p>
    <w:p w:rsidR="00B30DE6" w:rsidRDefault="00B30DE6" w:rsidP="00B30DE6">
      <w:pPr>
        <w:jc w:val="center"/>
        <w:rPr>
          <w:b/>
          <w:caps/>
        </w:rPr>
      </w:pPr>
    </w:p>
    <w:p w:rsidR="00B30DE6" w:rsidRDefault="00B30DE6" w:rsidP="00B30DE6">
      <w:pPr>
        <w:pStyle w:val="Default"/>
        <w:rPr>
          <w:b/>
          <w:bCs/>
          <w:sz w:val="23"/>
          <w:szCs w:val="23"/>
        </w:rPr>
      </w:pPr>
    </w:p>
    <w:p w:rsidR="008F276C" w:rsidRDefault="008F276C" w:rsidP="00B30DE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In Attendance:  Carol White, David </w:t>
      </w:r>
      <w:proofErr w:type="spellStart"/>
      <w:r>
        <w:rPr>
          <w:b/>
          <w:bCs/>
          <w:sz w:val="23"/>
          <w:szCs w:val="23"/>
        </w:rPr>
        <w:t>Greenebaum</w:t>
      </w:r>
      <w:proofErr w:type="spellEnd"/>
      <w:r>
        <w:rPr>
          <w:b/>
          <w:bCs/>
          <w:sz w:val="23"/>
          <w:szCs w:val="23"/>
        </w:rPr>
        <w:t xml:space="preserve">, </w:t>
      </w:r>
      <w:proofErr w:type="spellStart"/>
      <w:r>
        <w:rPr>
          <w:b/>
          <w:bCs/>
          <w:sz w:val="23"/>
          <w:szCs w:val="23"/>
        </w:rPr>
        <w:t>Junfeng</w:t>
      </w:r>
      <w:proofErr w:type="spellEnd"/>
      <w:r w:rsidR="009C1FE1">
        <w:rPr>
          <w:b/>
          <w:bCs/>
          <w:sz w:val="23"/>
          <w:szCs w:val="23"/>
        </w:rPr>
        <w:t xml:space="preserve"> Qu</w:t>
      </w:r>
      <w:r>
        <w:rPr>
          <w:b/>
          <w:bCs/>
          <w:sz w:val="23"/>
          <w:szCs w:val="23"/>
        </w:rPr>
        <w:t xml:space="preserve"> (also proxy for Byron J</w:t>
      </w:r>
      <w:r w:rsidR="009C1FE1">
        <w:rPr>
          <w:b/>
          <w:bCs/>
          <w:sz w:val="23"/>
          <w:szCs w:val="23"/>
        </w:rPr>
        <w:t>eff</w:t>
      </w:r>
      <w:r w:rsidR="009342B0">
        <w:rPr>
          <w:b/>
          <w:bCs/>
          <w:sz w:val="23"/>
          <w:szCs w:val="23"/>
        </w:rPr>
        <w:t xml:space="preserve">), Lisa Smiley, </w:t>
      </w:r>
      <w:proofErr w:type="spellStart"/>
      <w:r w:rsidR="009342B0">
        <w:rPr>
          <w:b/>
          <w:bCs/>
          <w:sz w:val="23"/>
          <w:szCs w:val="23"/>
        </w:rPr>
        <w:t>Dmitriy</w:t>
      </w:r>
      <w:proofErr w:type="spellEnd"/>
      <w:r w:rsidR="009342B0">
        <w:rPr>
          <w:b/>
          <w:bCs/>
          <w:sz w:val="23"/>
          <w:szCs w:val="23"/>
        </w:rPr>
        <w:t xml:space="preserve"> </w:t>
      </w:r>
      <w:proofErr w:type="spellStart"/>
      <w:r w:rsidR="009342B0">
        <w:rPr>
          <w:b/>
          <w:bCs/>
          <w:sz w:val="23"/>
          <w:szCs w:val="23"/>
        </w:rPr>
        <w:t>Beznosko</w:t>
      </w:r>
      <w:proofErr w:type="spellEnd"/>
      <w:r w:rsidR="009342B0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Kamran</w:t>
      </w:r>
      <w:r w:rsidR="009342B0">
        <w:rPr>
          <w:b/>
          <w:bCs/>
          <w:sz w:val="23"/>
          <w:szCs w:val="23"/>
        </w:rPr>
        <w:t xml:space="preserve"> </w:t>
      </w:r>
      <w:proofErr w:type="spellStart"/>
      <w:r w:rsidR="009342B0">
        <w:rPr>
          <w:b/>
          <w:bCs/>
          <w:sz w:val="23"/>
          <w:szCs w:val="23"/>
        </w:rPr>
        <w:t>Moghaddam</w:t>
      </w:r>
      <w:proofErr w:type="spellEnd"/>
      <w:r w:rsidR="009342B0">
        <w:rPr>
          <w:b/>
          <w:bCs/>
          <w:sz w:val="23"/>
          <w:szCs w:val="23"/>
        </w:rPr>
        <w:t xml:space="preserve"> (</w:t>
      </w:r>
      <w:r>
        <w:rPr>
          <w:b/>
          <w:bCs/>
          <w:sz w:val="23"/>
          <w:szCs w:val="23"/>
        </w:rPr>
        <w:t>virtually), Kate Cotter-Reilly</w:t>
      </w:r>
      <w:r w:rsidR="00E77EF1">
        <w:rPr>
          <w:b/>
          <w:bCs/>
          <w:sz w:val="23"/>
          <w:szCs w:val="23"/>
        </w:rPr>
        <w:t xml:space="preserve">, Keith Driscoll, Jim </w:t>
      </w:r>
      <w:proofErr w:type="spellStart"/>
      <w:r w:rsidR="00E77EF1">
        <w:rPr>
          <w:b/>
          <w:bCs/>
          <w:sz w:val="23"/>
          <w:szCs w:val="23"/>
        </w:rPr>
        <w:t>Rickerson</w:t>
      </w:r>
      <w:proofErr w:type="spellEnd"/>
      <w:r w:rsidR="00160CB9">
        <w:rPr>
          <w:b/>
          <w:bCs/>
          <w:sz w:val="23"/>
          <w:szCs w:val="23"/>
        </w:rPr>
        <w:t xml:space="preserve">, </w:t>
      </w:r>
      <w:r w:rsidR="00265F77">
        <w:rPr>
          <w:b/>
          <w:bCs/>
          <w:sz w:val="23"/>
          <w:szCs w:val="23"/>
        </w:rPr>
        <w:t>and David Williams</w:t>
      </w:r>
      <w:bookmarkStart w:id="0" w:name="_GoBack"/>
      <w:bookmarkEnd w:id="0"/>
    </w:p>
    <w:p w:rsidR="008F276C" w:rsidRDefault="008F276C" w:rsidP="00B30DE6">
      <w:pPr>
        <w:pStyle w:val="Default"/>
        <w:rPr>
          <w:b/>
          <w:bCs/>
          <w:sz w:val="23"/>
          <w:szCs w:val="23"/>
        </w:rPr>
      </w:pPr>
    </w:p>
    <w:p w:rsidR="00B30DE6" w:rsidRDefault="008F276C" w:rsidP="00B30DE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</w:t>
      </w:r>
      <w:r w:rsidR="00B30DE6">
        <w:rPr>
          <w:b/>
          <w:bCs/>
          <w:sz w:val="23"/>
          <w:szCs w:val="23"/>
        </w:rPr>
        <w:t>Approval of Minutes of April 15, 2022</w:t>
      </w:r>
      <w:r w:rsidR="00160CB9">
        <w:rPr>
          <w:b/>
          <w:bCs/>
          <w:sz w:val="23"/>
          <w:szCs w:val="23"/>
        </w:rPr>
        <w:t>—Approved, Unanimously</w:t>
      </w:r>
    </w:p>
    <w:p w:rsidR="00B30DE6" w:rsidRDefault="00B30DE6" w:rsidP="00B30DE6">
      <w:pPr>
        <w:pStyle w:val="Default"/>
        <w:rPr>
          <w:b/>
          <w:bCs/>
        </w:rPr>
      </w:pPr>
    </w:p>
    <w:p w:rsidR="00B30DE6" w:rsidRDefault="00B30DE6" w:rsidP="00CD593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2. New Proposals</w:t>
      </w:r>
    </w:p>
    <w:p w:rsidR="00160CB9" w:rsidRDefault="00160CB9" w:rsidP="00160CB9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Discussion of new CIM system, how it works, should we be trained on it?, can we vote through it?  Still need to figure out.</w:t>
      </w:r>
    </w:p>
    <w:p w:rsidR="006868C7" w:rsidRDefault="006868C7" w:rsidP="00160CB9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ACCT/FINA</w:t>
      </w:r>
    </w:p>
    <w:p w:rsidR="006868C7" w:rsidRDefault="006868C7" w:rsidP="006868C7">
      <w:pPr>
        <w:pStyle w:val="Default"/>
        <w:numPr>
          <w:ilvl w:val="1"/>
          <w:numId w:val="3"/>
        </w:numPr>
        <w:rPr>
          <w:b/>
          <w:bCs/>
          <w:sz w:val="23"/>
          <w:szCs w:val="23"/>
        </w:rPr>
      </w:pPr>
      <w:r w:rsidRPr="006868C7">
        <w:rPr>
          <w:b/>
          <w:bCs/>
          <w:sz w:val="23"/>
          <w:szCs w:val="23"/>
        </w:rPr>
        <w:t xml:space="preserve">ACCT 4440—Change in prerequisite </w:t>
      </w:r>
    </w:p>
    <w:p w:rsidR="006868C7" w:rsidRPr="006868C7" w:rsidRDefault="006868C7" w:rsidP="006868C7">
      <w:pPr>
        <w:pStyle w:val="Default"/>
        <w:numPr>
          <w:ilvl w:val="2"/>
          <w:numId w:val="3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As we see it on the PDF in D2L—Approved Unanimously; </w:t>
      </w:r>
      <w:r w:rsidR="00B91B94">
        <w:rPr>
          <w:b/>
          <w:bCs/>
          <w:sz w:val="23"/>
          <w:szCs w:val="23"/>
        </w:rPr>
        <w:t>Second reading waved.</w:t>
      </w:r>
    </w:p>
    <w:p w:rsidR="006868C7" w:rsidRPr="006868C7" w:rsidRDefault="006868C7" w:rsidP="006868C7">
      <w:pPr>
        <w:pStyle w:val="Default"/>
        <w:numPr>
          <w:ilvl w:val="1"/>
          <w:numId w:val="3"/>
        </w:numPr>
        <w:rPr>
          <w:b/>
          <w:bCs/>
          <w:sz w:val="23"/>
          <w:szCs w:val="23"/>
        </w:rPr>
      </w:pPr>
      <w:r w:rsidRPr="006868C7">
        <w:rPr>
          <w:b/>
          <w:sz w:val="23"/>
          <w:szCs w:val="23"/>
        </w:rPr>
        <w:t>ACCT 4850, ACCT 4851, ACCT 4852, ACCT 4853, FINA 4850</w:t>
      </w:r>
      <w:r>
        <w:rPr>
          <w:b/>
          <w:sz w:val="23"/>
          <w:szCs w:val="23"/>
        </w:rPr>
        <w:t>—Change in restrictions.</w:t>
      </w:r>
    </w:p>
    <w:p w:rsidR="00B91B94" w:rsidRPr="006868C7" w:rsidRDefault="006868C7" w:rsidP="00B91B94">
      <w:pPr>
        <w:pStyle w:val="Default"/>
        <w:numPr>
          <w:ilvl w:val="2"/>
          <w:numId w:val="3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As we see it on the PDF in D2L</w:t>
      </w:r>
      <w:r w:rsidR="00B91B94">
        <w:rPr>
          <w:b/>
          <w:bCs/>
          <w:sz w:val="23"/>
          <w:szCs w:val="23"/>
        </w:rPr>
        <w:t>—Approved Unanimously; Second reading waved.</w:t>
      </w:r>
    </w:p>
    <w:p w:rsidR="006868C7" w:rsidRPr="006868C7" w:rsidRDefault="006868C7" w:rsidP="00B91B94">
      <w:pPr>
        <w:pStyle w:val="Default"/>
        <w:ind w:left="2160"/>
        <w:rPr>
          <w:b/>
          <w:bCs/>
          <w:sz w:val="23"/>
          <w:szCs w:val="23"/>
        </w:rPr>
      </w:pPr>
    </w:p>
    <w:p w:rsidR="00160CB9" w:rsidRPr="00B91B94" w:rsidRDefault="00160CB9" w:rsidP="00160CB9">
      <w:pPr>
        <w:pStyle w:val="Default"/>
        <w:numPr>
          <w:ilvl w:val="0"/>
          <w:numId w:val="3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AS</w:t>
      </w:r>
      <w:r w:rsidRPr="00B91B94">
        <w:rPr>
          <w:b/>
          <w:bCs/>
          <w:sz w:val="23"/>
          <w:szCs w:val="23"/>
        </w:rPr>
        <w:t>TR/PHYS</w:t>
      </w:r>
    </w:p>
    <w:p w:rsidR="00160CB9" w:rsidRPr="00EC398A" w:rsidRDefault="00B91B94" w:rsidP="00B91B94">
      <w:pPr>
        <w:pStyle w:val="Default"/>
        <w:numPr>
          <w:ilvl w:val="1"/>
          <w:numId w:val="3"/>
        </w:numPr>
        <w:rPr>
          <w:b/>
          <w:bCs/>
          <w:sz w:val="23"/>
          <w:szCs w:val="23"/>
        </w:rPr>
      </w:pPr>
      <w:r w:rsidRPr="00B91B94">
        <w:rPr>
          <w:b/>
          <w:sz w:val="23"/>
          <w:szCs w:val="23"/>
        </w:rPr>
        <w:t xml:space="preserve">ASTR 1010, ASTR 1020, </w:t>
      </w:r>
      <w:r w:rsidR="00726BCF">
        <w:rPr>
          <w:b/>
          <w:sz w:val="23"/>
          <w:szCs w:val="23"/>
        </w:rPr>
        <w:t xml:space="preserve">ASTR 1020L, </w:t>
      </w:r>
      <w:r w:rsidRPr="00B91B94">
        <w:rPr>
          <w:b/>
          <w:sz w:val="23"/>
          <w:szCs w:val="23"/>
        </w:rPr>
        <w:t>PHYS 1111, PHYS 111L, PHYS 1112, PHYS 1112L, PHYS 2211, PHYS2211L, PHYS 2212, PHYS 2212L, PHYS 3213, PHYS 3214, PHYS 3650, PHYS 3650L, PHYS 4215, , PHYS 4217</w:t>
      </w:r>
      <w:r>
        <w:rPr>
          <w:b/>
          <w:sz w:val="23"/>
          <w:szCs w:val="23"/>
        </w:rPr>
        <w:t>—Change in prerequisite</w:t>
      </w:r>
      <w:r w:rsidR="0042471C">
        <w:rPr>
          <w:b/>
          <w:sz w:val="23"/>
          <w:szCs w:val="23"/>
        </w:rPr>
        <w:t>s</w:t>
      </w:r>
      <w:r w:rsidR="0075394E">
        <w:rPr>
          <w:b/>
          <w:sz w:val="23"/>
          <w:szCs w:val="23"/>
        </w:rPr>
        <w:t xml:space="preserve"> (both classes and grades for some classes)</w:t>
      </w:r>
      <w:r w:rsidR="00EC398A">
        <w:rPr>
          <w:b/>
          <w:sz w:val="23"/>
          <w:szCs w:val="23"/>
        </w:rPr>
        <w:t xml:space="preserve"> and corrections (general clean-up)</w:t>
      </w:r>
    </w:p>
    <w:p w:rsidR="00EC398A" w:rsidRPr="00EC398A" w:rsidRDefault="00AC25DE" w:rsidP="00EC398A">
      <w:pPr>
        <w:pStyle w:val="Default"/>
        <w:numPr>
          <w:ilvl w:val="2"/>
          <w:numId w:val="3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Approved Unanimously; Second reading waved.</w:t>
      </w:r>
    </w:p>
    <w:p w:rsidR="00EC398A" w:rsidRPr="00B91B94" w:rsidRDefault="00EC398A" w:rsidP="00B91B94">
      <w:pPr>
        <w:pStyle w:val="Default"/>
        <w:numPr>
          <w:ilvl w:val="1"/>
          <w:numId w:val="3"/>
        </w:numPr>
        <w:rPr>
          <w:b/>
          <w:bCs/>
          <w:sz w:val="23"/>
          <w:szCs w:val="23"/>
        </w:rPr>
      </w:pPr>
      <w:r w:rsidRPr="00B91B94">
        <w:rPr>
          <w:b/>
          <w:sz w:val="23"/>
          <w:szCs w:val="23"/>
        </w:rPr>
        <w:t>PHYS 4216</w:t>
      </w:r>
      <w:r w:rsidR="00AC25DE">
        <w:rPr>
          <w:b/>
          <w:sz w:val="23"/>
          <w:szCs w:val="23"/>
        </w:rPr>
        <w:t>—To be dealt with at a later date.</w:t>
      </w:r>
    </w:p>
    <w:p w:rsidR="00B91B94" w:rsidRPr="00B91B94" w:rsidRDefault="00EC398A" w:rsidP="00B91B94">
      <w:pPr>
        <w:pStyle w:val="Default"/>
        <w:numPr>
          <w:ilvl w:val="2"/>
          <w:numId w:val="3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Description needs to be changed before we can vote on this item.</w:t>
      </w:r>
    </w:p>
    <w:p w:rsidR="00B30DE6" w:rsidRDefault="00B30DE6" w:rsidP="00B30DE6">
      <w:pPr>
        <w:pStyle w:val="Default"/>
        <w:rPr>
          <w:sz w:val="23"/>
          <w:szCs w:val="23"/>
        </w:rPr>
      </w:pPr>
    </w:p>
    <w:p w:rsidR="00B30DE6" w:rsidRDefault="00B30DE6" w:rsidP="00B30DE6">
      <w:pPr>
        <w:pStyle w:val="Default"/>
        <w:rPr>
          <w:sz w:val="23"/>
          <w:szCs w:val="23"/>
        </w:rPr>
      </w:pPr>
    </w:p>
    <w:tbl>
      <w:tblPr>
        <w:tblStyle w:val="TableGrid"/>
        <w:tblW w:w="12840" w:type="dxa"/>
        <w:tblLook w:val="04A0" w:firstRow="1" w:lastRow="0" w:firstColumn="1" w:lastColumn="0" w:noHBand="0" w:noVBand="1"/>
      </w:tblPr>
      <w:tblGrid>
        <w:gridCol w:w="3665"/>
        <w:gridCol w:w="2633"/>
        <w:gridCol w:w="3032"/>
        <w:gridCol w:w="1675"/>
        <w:gridCol w:w="1835"/>
      </w:tblGrid>
      <w:tr w:rsidR="00B30DE6" w:rsidTr="00B30DE6">
        <w:trPr>
          <w:trHeight w:val="298"/>
        </w:trPr>
        <w:tc>
          <w:tcPr>
            <w:tcW w:w="3665" w:type="dxa"/>
            <w:shd w:val="clear" w:color="auto" w:fill="F2F2F2" w:themeFill="background1" w:themeFillShade="F2"/>
          </w:tcPr>
          <w:p w:rsidR="00B30DE6" w:rsidRPr="00FF7AD8" w:rsidRDefault="00B30DE6" w:rsidP="00C90FC1">
            <w:pPr>
              <w:pStyle w:val="Default"/>
              <w:rPr>
                <w:b/>
                <w:sz w:val="28"/>
                <w:szCs w:val="28"/>
              </w:rPr>
            </w:pPr>
            <w:r w:rsidRPr="00FF7AD8">
              <w:rPr>
                <w:b/>
                <w:sz w:val="28"/>
                <w:szCs w:val="28"/>
              </w:rPr>
              <w:t>CAS</w:t>
            </w:r>
          </w:p>
        </w:tc>
        <w:tc>
          <w:tcPr>
            <w:tcW w:w="2633" w:type="dxa"/>
            <w:shd w:val="clear" w:color="auto" w:fill="F2F2F2" w:themeFill="background1" w:themeFillShade="F2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32" w:type="dxa"/>
            <w:shd w:val="clear" w:color="auto" w:fill="F2F2F2" w:themeFill="background1" w:themeFillShade="F2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75" w:type="dxa"/>
            <w:shd w:val="clear" w:color="auto" w:fill="F2F2F2" w:themeFill="background1" w:themeFillShade="F2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35" w:type="dxa"/>
            <w:shd w:val="clear" w:color="auto" w:fill="F2F2F2" w:themeFill="background1" w:themeFillShade="F2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</w:tr>
      <w:tr w:rsidR="00B30DE6" w:rsidRPr="002F63F4" w:rsidTr="00B30DE6">
        <w:trPr>
          <w:trHeight w:val="243"/>
        </w:trPr>
        <w:tc>
          <w:tcPr>
            <w:tcW w:w="3665" w:type="dxa"/>
          </w:tcPr>
          <w:p w:rsidR="00B30DE6" w:rsidRPr="00B103C1" w:rsidRDefault="00E46980" w:rsidP="00C90FC1">
            <w:pPr>
              <w:pStyle w:val="Default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ASTR/</w:t>
            </w:r>
            <w:r w:rsidR="00517B4E">
              <w:rPr>
                <w:b/>
                <w:bCs/>
                <w:iCs/>
                <w:sz w:val="23"/>
                <w:szCs w:val="23"/>
              </w:rPr>
              <w:t>PHYS</w:t>
            </w:r>
          </w:p>
        </w:tc>
        <w:tc>
          <w:tcPr>
            <w:tcW w:w="2633" w:type="dxa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032" w:type="dxa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675" w:type="dxa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35" w:type="dxa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B30DE6" w:rsidRPr="002F63F4" w:rsidTr="00B30DE6">
        <w:trPr>
          <w:trHeight w:val="249"/>
        </w:trPr>
        <w:tc>
          <w:tcPr>
            <w:tcW w:w="3665" w:type="dxa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633" w:type="dxa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032" w:type="dxa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675" w:type="dxa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1835" w:type="dxa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B30DE6" w:rsidTr="00B30DE6">
        <w:trPr>
          <w:trHeight w:val="493"/>
        </w:trPr>
        <w:tc>
          <w:tcPr>
            <w:tcW w:w="3665" w:type="dxa"/>
          </w:tcPr>
          <w:p w:rsidR="00B30DE6" w:rsidRPr="0075529C" w:rsidRDefault="00CB46D9" w:rsidP="00C90FC1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 xml:space="preserve">Change in prerequisites </w:t>
            </w:r>
          </w:p>
        </w:tc>
        <w:tc>
          <w:tcPr>
            <w:tcW w:w="2633" w:type="dxa"/>
          </w:tcPr>
          <w:p w:rsidR="00B30DE6" w:rsidRDefault="00E46980" w:rsidP="00726BC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ASTR 1010, ASTR 1020</w:t>
            </w:r>
            <w:r>
              <w:rPr>
                <w:sz w:val="23"/>
                <w:szCs w:val="23"/>
              </w:rPr>
              <w:t>,</w:t>
            </w:r>
            <w:r w:rsidR="00726BCF">
              <w:rPr>
                <w:sz w:val="23"/>
                <w:szCs w:val="23"/>
              </w:rPr>
              <w:t xml:space="preserve"> </w:t>
            </w:r>
            <w:r w:rsidR="00726BCF" w:rsidRPr="00726BCF">
              <w:rPr>
                <w:sz w:val="23"/>
                <w:szCs w:val="23"/>
              </w:rPr>
              <w:t>ASTR 1020L,</w:t>
            </w:r>
            <w:r w:rsidR="00726BCF">
              <w:rPr>
                <w:b/>
                <w:sz w:val="23"/>
                <w:szCs w:val="23"/>
              </w:rPr>
              <w:t xml:space="preserve"> </w:t>
            </w:r>
            <w:r w:rsidR="00517B4E">
              <w:rPr>
                <w:sz w:val="23"/>
                <w:szCs w:val="23"/>
              </w:rPr>
              <w:t xml:space="preserve">PHYS 1111, PHYS 111L, PHYS 1112, PHYS 1112L, </w:t>
            </w:r>
            <w:r w:rsidR="00517B4E">
              <w:rPr>
                <w:sz w:val="23"/>
                <w:szCs w:val="23"/>
              </w:rPr>
              <w:lastRenderedPageBreak/>
              <w:t>PHYS 2211, PHYS2211L, PHYS 2212, PHYS 2212L, PHYS 3213, PHYS 3214, PHYS 3650, PHYS 3650L, PHYS 4215, PHYS 4216, PHYS 4217</w:t>
            </w:r>
          </w:p>
        </w:tc>
        <w:tc>
          <w:tcPr>
            <w:tcW w:w="3032" w:type="dxa"/>
          </w:tcPr>
          <w:p w:rsidR="00A6729E" w:rsidRDefault="00A6729E" w:rsidP="00A6729E">
            <w:pPr>
              <w:pStyle w:val="NormalWeb"/>
            </w:pPr>
            <w:r>
              <w:lastRenderedPageBreak/>
              <w:t>CIM change form</w:t>
            </w:r>
          </w:p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75" w:type="dxa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35" w:type="dxa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30DE6" w:rsidRDefault="00B30DE6" w:rsidP="00B30DE6">
      <w:pPr>
        <w:pStyle w:val="Default"/>
        <w:rPr>
          <w:sz w:val="23"/>
          <w:szCs w:val="23"/>
        </w:rPr>
      </w:pPr>
    </w:p>
    <w:p w:rsidR="00B30DE6" w:rsidRDefault="00B30DE6" w:rsidP="00B30DE6">
      <w:pPr>
        <w:pStyle w:val="Default"/>
        <w:rPr>
          <w:b/>
          <w:bCs/>
          <w:sz w:val="23"/>
          <w:szCs w:val="23"/>
        </w:rPr>
      </w:pPr>
    </w:p>
    <w:tbl>
      <w:tblPr>
        <w:tblStyle w:val="TableGrid"/>
        <w:tblW w:w="12877" w:type="dxa"/>
        <w:tblLook w:val="04A0" w:firstRow="1" w:lastRow="0" w:firstColumn="1" w:lastColumn="0" w:noHBand="0" w:noVBand="1"/>
      </w:tblPr>
      <w:tblGrid>
        <w:gridCol w:w="3676"/>
        <w:gridCol w:w="2640"/>
        <w:gridCol w:w="3041"/>
        <w:gridCol w:w="1680"/>
        <w:gridCol w:w="1840"/>
      </w:tblGrid>
      <w:tr w:rsidR="00B30DE6" w:rsidTr="00B30DE6">
        <w:trPr>
          <w:trHeight w:val="290"/>
        </w:trPr>
        <w:tc>
          <w:tcPr>
            <w:tcW w:w="3676" w:type="dxa"/>
            <w:shd w:val="clear" w:color="auto" w:fill="F2F2F2" w:themeFill="background1" w:themeFillShade="F2"/>
          </w:tcPr>
          <w:p w:rsidR="00B30DE6" w:rsidRPr="00FF7AD8" w:rsidRDefault="00517B4E" w:rsidP="00C90FC1">
            <w:pPr>
              <w:pStyle w:val="Defaul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COB</w:t>
            </w:r>
          </w:p>
        </w:tc>
        <w:tc>
          <w:tcPr>
            <w:tcW w:w="2640" w:type="dxa"/>
            <w:shd w:val="clear" w:color="auto" w:fill="F2F2F2" w:themeFill="background1" w:themeFillShade="F2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41" w:type="dxa"/>
            <w:shd w:val="clear" w:color="auto" w:fill="F2F2F2" w:themeFill="background1" w:themeFillShade="F2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680" w:type="dxa"/>
            <w:shd w:val="clear" w:color="auto" w:fill="F2F2F2" w:themeFill="background1" w:themeFillShade="F2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0" w:type="dxa"/>
            <w:shd w:val="clear" w:color="auto" w:fill="F2F2F2" w:themeFill="background1" w:themeFillShade="F2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</w:tr>
      <w:tr w:rsidR="00B30DE6" w:rsidRPr="002F63F4" w:rsidTr="00B30DE6">
        <w:trPr>
          <w:trHeight w:val="242"/>
        </w:trPr>
        <w:tc>
          <w:tcPr>
            <w:tcW w:w="3676" w:type="dxa"/>
            <w:shd w:val="clear" w:color="auto" w:fill="FFFFFF" w:themeFill="background1"/>
          </w:tcPr>
          <w:p w:rsidR="00B30DE6" w:rsidRPr="00517B4E" w:rsidRDefault="00517B4E" w:rsidP="00C90FC1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ACCT</w:t>
            </w:r>
            <w:r w:rsidR="00E46980">
              <w:rPr>
                <w:b/>
                <w:bCs/>
                <w:sz w:val="23"/>
                <w:szCs w:val="23"/>
              </w:rPr>
              <w:t>/FINA</w:t>
            </w:r>
          </w:p>
        </w:tc>
        <w:tc>
          <w:tcPr>
            <w:tcW w:w="2640" w:type="dxa"/>
            <w:shd w:val="clear" w:color="auto" w:fill="FFFFFF" w:themeFill="background1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3041" w:type="dxa"/>
            <w:shd w:val="clear" w:color="auto" w:fill="FFFFFF" w:themeFill="background1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680" w:type="dxa"/>
            <w:shd w:val="clear" w:color="auto" w:fill="FFFFFF" w:themeFill="background1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840" w:type="dxa"/>
            <w:shd w:val="clear" w:color="auto" w:fill="FFFFFF" w:themeFill="background1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</w:p>
        </w:tc>
      </w:tr>
      <w:tr w:rsidR="00B30DE6" w:rsidRPr="002F63F4" w:rsidTr="00B30DE6">
        <w:trPr>
          <w:trHeight w:val="236"/>
        </w:trPr>
        <w:tc>
          <w:tcPr>
            <w:tcW w:w="3676" w:type="dxa"/>
            <w:shd w:val="clear" w:color="auto" w:fill="FFFFFF" w:themeFill="background1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2640" w:type="dxa"/>
            <w:shd w:val="clear" w:color="auto" w:fill="FFFFFF" w:themeFill="background1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3041" w:type="dxa"/>
            <w:shd w:val="clear" w:color="auto" w:fill="FFFFFF" w:themeFill="background1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Supporting Materials</w:t>
            </w:r>
          </w:p>
        </w:tc>
        <w:tc>
          <w:tcPr>
            <w:tcW w:w="1680" w:type="dxa"/>
            <w:shd w:val="clear" w:color="auto" w:fill="FFFFFF" w:themeFill="background1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Results</w:t>
            </w:r>
          </w:p>
        </w:tc>
        <w:tc>
          <w:tcPr>
            <w:tcW w:w="1840" w:type="dxa"/>
            <w:shd w:val="clear" w:color="auto" w:fill="FFFFFF" w:themeFill="background1"/>
          </w:tcPr>
          <w:p w:rsidR="00B30DE6" w:rsidRPr="002F63F4" w:rsidRDefault="00B30DE6" w:rsidP="00C90F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Next Steps</w:t>
            </w:r>
          </w:p>
        </w:tc>
      </w:tr>
      <w:tr w:rsidR="00B30DE6" w:rsidTr="00B30DE6">
        <w:trPr>
          <w:trHeight w:val="242"/>
        </w:trPr>
        <w:tc>
          <w:tcPr>
            <w:tcW w:w="3676" w:type="dxa"/>
          </w:tcPr>
          <w:p w:rsidR="00B30DE6" w:rsidRPr="00241840" w:rsidRDefault="003B6FA6" w:rsidP="00C90FC1">
            <w:pPr>
              <w:pStyle w:val="Default"/>
              <w:rPr>
                <w:i/>
                <w:sz w:val="23"/>
                <w:szCs w:val="23"/>
              </w:rPr>
            </w:pPr>
            <w:r w:rsidRPr="00241840">
              <w:rPr>
                <w:i/>
                <w:sz w:val="23"/>
                <w:szCs w:val="23"/>
              </w:rPr>
              <w:t xml:space="preserve">Change in Perquisite </w:t>
            </w:r>
          </w:p>
        </w:tc>
        <w:tc>
          <w:tcPr>
            <w:tcW w:w="2640" w:type="dxa"/>
          </w:tcPr>
          <w:p w:rsidR="00B30DE6" w:rsidRDefault="006868C7" w:rsidP="009C5A4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ACCT 4440</w:t>
            </w:r>
          </w:p>
        </w:tc>
        <w:tc>
          <w:tcPr>
            <w:tcW w:w="3041" w:type="dxa"/>
          </w:tcPr>
          <w:p w:rsidR="00B30DE6" w:rsidRPr="00A6729E" w:rsidRDefault="00A6729E" w:rsidP="00A6729E">
            <w:pPr>
              <w:pStyle w:val="NormalWeb"/>
            </w:pPr>
            <w:r>
              <w:t>CIM change form</w:t>
            </w:r>
          </w:p>
        </w:tc>
        <w:tc>
          <w:tcPr>
            <w:tcW w:w="1680" w:type="dxa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0" w:type="dxa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</w:tr>
      <w:tr w:rsidR="00B30DE6" w:rsidTr="00B30DE6">
        <w:trPr>
          <w:trHeight w:val="478"/>
        </w:trPr>
        <w:tc>
          <w:tcPr>
            <w:tcW w:w="3676" w:type="dxa"/>
          </w:tcPr>
          <w:p w:rsidR="00B30DE6" w:rsidRPr="003B6FA6" w:rsidRDefault="003B6FA6" w:rsidP="00C90FC1">
            <w:pPr>
              <w:pStyle w:val="Default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Updating restrictions to conform with all other internships.</w:t>
            </w:r>
          </w:p>
        </w:tc>
        <w:tc>
          <w:tcPr>
            <w:tcW w:w="2640" w:type="dxa"/>
          </w:tcPr>
          <w:p w:rsidR="00B30DE6" w:rsidRDefault="00517B4E" w:rsidP="00C90F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ACCT 4850, ACCT </w:t>
            </w:r>
            <w:r w:rsidR="003B6FA6">
              <w:rPr>
                <w:sz w:val="23"/>
                <w:szCs w:val="23"/>
              </w:rPr>
              <w:t>4851, ACCT 4852, ACCT 4853, FINA</w:t>
            </w:r>
            <w:r>
              <w:rPr>
                <w:sz w:val="23"/>
                <w:szCs w:val="23"/>
              </w:rPr>
              <w:t xml:space="preserve"> 4850</w:t>
            </w:r>
          </w:p>
        </w:tc>
        <w:tc>
          <w:tcPr>
            <w:tcW w:w="3041" w:type="dxa"/>
          </w:tcPr>
          <w:p w:rsidR="00B30DE6" w:rsidRPr="00A6729E" w:rsidRDefault="00A6729E" w:rsidP="00A6729E">
            <w:pPr>
              <w:pStyle w:val="NormalWeb"/>
            </w:pPr>
            <w:r>
              <w:t>CIM change form</w:t>
            </w:r>
          </w:p>
        </w:tc>
        <w:tc>
          <w:tcPr>
            <w:tcW w:w="1680" w:type="dxa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840" w:type="dxa"/>
          </w:tcPr>
          <w:p w:rsidR="00B30DE6" w:rsidRDefault="00B30DE6" w:rsidP="00C90FC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B30DE6" w:rsidRDefault="00B30DE6" w:rsidP="00B30DE6">
      <w:pPr>
        <w:pStyle w:val="Default"/>
        <w:rPr>
          <w:b/>
          <w:bCs/>
          <w:sz w:val="23"/>
          <w:szCs w:val="23"/>
        </w:rPr>
      </w:pPr>
    </w:p>
    <w:p w:rsidR="00B30DE6" w:rsidRDefault="00B30DE6" w:rsidP="00B30DE6">
      <w:pPr>
        <w:rPr>
          <w:sz w:val="23"/>
          <w:szCs w:val="23"/>
        </w:rPr>
      </w:pPr>
      <w:r>
        <w:rPr>
          <w:sz w:val="23"/>
          <w:szCs w:val="23"/>
          <w:u w:val="single"/>
        </w:rPr>
        <w:t>Next Meeting</w:t>
      </w:r>
      <w:r w:rsidRPr="008F276C">
        <w:rPr>
          <w:sz w:val="23"/>
          <w:szCs w:val="23"/>
        </w:rPr>
        <w:t xml:space="preserve">:  </w:t>
      </w:r>
      <w:r w:rsidR="008F276C" w:rsidRPr="008F276C">
        <w:rPr>
          <w:sz w:val="23"/>
          <w:szCs w:val="23"/>
        </w:rPr>
        <w:t xml:space="preserve"> 2/10/2023 at 12pm</w:t>
      </w:r>
    </w:p>
    <w:p w:rsidR="00AC25DE" w:rsidRDefault="00AC25DE" w:rsidP="00B30DE6">
      <w:pPr>
        <w:rPr>
          <w:sz w:val="23"/>
          <w:szCs w:val="23"/>
        </w:rPr>
      </w:pPr>
    </w:p>
    <w:p w:rsidR="00AC25DE" w:rsidRDefault="00AC25DE" w:rsidP="00B30DE6">
      <w:r>
        <w:rPr>
          <w:sz w:val="23"/>
          <w:szCs w:val="23"/>
        </w:rPr>
        <w:t>Meeting Adjourned:  1:45pm</w:t>
      </w:r>
    </w:p>
    <w:p w:rsidR="00B30DE6" w:rsidRDefault="00B30DE6" w:rsidP="00B30DE6"/>
    <w:p w:rsidR="007001A7" w:rsidRDefault="007001A7"/>
    <w:sectPr w:rsidR="007001A7" w:rsidSect="00B30DE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03C2"/>
    <w:multiLevelType w:val="hybridMultilevel"/>
    <w:tmpl w:val="CABAC7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86A73"/>
    <w:multiLevelType w:val="hybridMultilevel"/>
    <w:tmpl w:val="3A122B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713ED"/>
    <w:multiLevelType w:val="hybridMultilevel"/>
    <w:tmpl w:val="4BC890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DE6"/>
    <w:rsid w:val="00160CB9"/>
    <w:rsid w:val="00241840"/>
    <w:rsid w:val="00265F77"/>
    <w:rsid w:val="003B6FA6"/>
    <w:rsid w:val="0042471C"/>
    <w:rsid w:val="00517B4E"/>
    <w:rsid w:val="006868C7"/>
    <w:rsid w:val="007001A7"/>
    <w:rsid w:val="00726BCF"/>
    <w:rsid w:val="0075394E"/>
    <w:rsid w:val="008F276C"/>
    <w:rsid w:val="009342B0"/>
    <w:rsid w:val="009C1FE1"/>
    <w:rsid w:val="009C5A43"/>
    <w:rsid w:val="00A6729E"/>
    <w:rsid w:val="00AC25DE"/>
    <w:rsid w:val="00B30DE6"/>
    <w:rsid w:val="00B91B94"/>
    <w:rsid w:val="00CB46D9"/>
    <w:rsid w:val="00CD5933"/>
    <w:rsid w:val="00E46980"/>
    <w:rsid w:val="00E77EF1"/>
    <w:rsid w:val="00E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5ECBD"/>
  <w15:chartTrackingRefBased/>
  <w15:docId w15:val="{A731A9BC-80D2-4C85-BA19-75016484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30D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B30D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6729E"/>
    <w:pPr>
      <w:spacing w:before="100" w:beforeAutospacing="1" w:after="100" w:afterAutospacing="1"/>
    </w:pPr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1507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Cotter-Reilly</dc:creator>
  <cp:keywords/>
  <dc:description/>
  <cp:lastModifiedBy>Kate Cotter-Reilly</cp:lastModifiedBy>
  <cp:revision>18</cp:revision>
  <dcterms:created xsi:type="dcterms:W3CDTF">2022-11-10T16:49:00Z</dcterms:created>
  <dcterms:modified xsi:type="dcterms:W3CDTF">2022-11-11T18:45:00Z</dcterms:modified>
</cp:coreProperties>
</file>