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65" w:rsidRDefault="00940A65"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940A65">
        <w:tc>
          <w:tcPr>
            <w:tcW w:w="9576" w:type="dxa"/>
          </w:tcPr>
          <w:p w:rsidR="00940A65" w:rsidRPr="005877D3" w:rsidRDefault="00940A65" w:rsidP="00876693">
            <w:pPr>
              <w:pStyle w:val="Default"/>
              <w:jc w:val="both"/>
              <w:rPr>
                <w:b/>
                <w:color w:val="auto"/>
                <w:sz w:val="32"/>
                <w:szCs w:val="32"/>
              </w:rPr>
            </w:pPr>
            <w:r w:rsidRPr="005877D3">
              <w:rPr>
                <w:b/>
                <w:color w:val="auto"/>
                <w:sz w:val="32"/>
                <w:szCs w:val="32"/>
              </w:rPr>
              <w:t xml:space="preserve">Institution Name: </w:t>
            </w:r>
            <w:r w:rsidR="00876693">
              <w:rPr>
                <w:b/>
                <w:color w:val="auto"/>
                <w:sz w:val="32"/>
                <w:szCs w:val="32"/>
              </w:rPr>
              <w:t>Clayton</w:t>
            </w:r>
            <w:r w:rsidR="00BD4CD0" w:rsidRPr="00BD4CD0">
              <w:rPr>
                <w:b/>
                <w:color w:val="auto"/>
                <w:sz w:val="32"/>
                <w:szCs w:val="32"/>
              </w:rPr>
              <w:t xml:space="preserve"> State University</w:t>
            </w:r>
          </w:p>
        </w:tc>
      </w:tr>
    </w:tbl>
    <w:p w:rsidR="00940A65" w:rsidRDefault="00940A65"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E961AD" w:rsidRPr="005877D3">
        <w:trPr>
          <w:trHeight w:val="323"/>
        </w:trPr>
        <w:tc>
          <w:tcPr>
            <w:tcW w:w="9576" w:type="dxa"/>
          </w:tcPr>
          <w:p w:rsidR="00E961AD" w:rsidRPr="005877D3" w:rsidRDefault="00E961AD" w:rsidP="00E961AD">
            <w:pPr>
              <w:pStyle w:val="Default"/>
              <w:jc w:val="center"/>
              <w:rPr>
                <w:b/>
                <w:color w:val="auto"/>
                <w:sz w:val="32"/>
                <w:szCs w:val="32"/>
              </w:rPr>
            </w:pPr>
            <w:r w:rsidRPr="005877D3">
              <w:rPr>
                <w:b/>
                <w:color w:val="auto"/>
                <w:sz w:val="32"/>
                <w:szCs w:val="32"/>
              </w:rPr>
              <w:t xml:space="preserve">Part I:  </w:t>
            </w:r>
            <w:r>
              <w:rPr>
                <w:b/>
                <w:color w:val="auto"/>
                <w:sz w:val="32"/>
                <w:szCs w:val="32"/>
              </w:rPr>
              <w:t>Enrollment</w:t>
            </w:r>
          </w:p>
        </w:tc>
      </w:tr>
      <w:tr w:rsidR="00E961AD" w:rsidRPr="00A261EA">
        <w:tc>
          <w:tcPr>
            <w:tcW w:w="9576" w:type="dxa"/>
          </w:tcPr>
          <w:p w:rsidR="00E961AD" w:rsidRPr="00A261EA" w:rsidRDefault="00E961AD" w:rsidP="00067C8A">
            <w:pPr>
              <w:pStyle w:val="Default"/>
              <w:numPr>
                <w:ilvl w:val="0"/>
                <w:numId w:val="1"/>
              </w:numPr>
              <w:jc w:val="both"/>
              <w:rPr>
                <w:color w:val="auto"/>
              </w:rPr>
            </w:pPr>
            <w:bookmarkStart w:id="0" w:name="_GoBack"/>
            <w:bookmarkEnd w:id="0"/>
            <w:r w:rsidRPr="00A261EA">
              <w:rPr>
                <w:color w:val="auto"/>
              </w:rPr>
              <w:t xml:space="preserve">Discuss </w:t>
            </w:r>
            <w:r>
              <w:rPr>
                <w:color w:val="auto"/>
              </w:rPr>
              <w:t>enrollment trends over the past three years</w:t>
            </w:r>
            <w:r w:rsidR="000608B0">
              <w:rPr>
                <w:color w:val="auto"/>
              </w:rPr>
              <w:t xml:space="preserve"> (fiscal years 201</w:t>
            </w:r>
            <w:r w:rsidR="00067C8A">
              <w:rPr>
                <w:color w:val="auto"/>
              </w:rPr>
              <w:t>3</w:t>
            </w:r>
            <w:r w:rsidR="000608B0">
              <w:rPr>
                <w:color w:val="auto"/>
              </w:rPr>
              <w:t>, 201</w:t>
            </w:r>
            <w:r w:rsidR="00067C8A">
              <w:rPr>
                <w:color w:val="auto"/>
              </w:rPr>
              <w:t>4</w:t>
            </w:r>
            <w:r w:rsidR="000608B0">
              <w:rPr>
                <w:color w:val="auto"/>
              </w:rPr>
              <w:t xml:space="preserve"> and 201</w:t>
            </w:r>
            <w:r w:rsidR="00067C8A">
              <w:rPr>
                <w:color w:val="auto"/>
              </w:rPr>
              <w:t>5</w:t>
            </w:r>
            <w:r w:rsidR="000608B0">
              <w:rPr>
                <w:color w:val="auto"/>
              </w:rPr>
              <w:t>)</w:t>
            </w:r>
            <w:r>
              <w:rPr>
                <w:color w:val="auto"/>
              </w:rPr>
              <w:t>?</w:t>
            </w:r>
            <w:r w:rsidR="007F3F3C">
              <w:rPr>
                <w:color w:val="auto"/>
              </w:rPr>
              <w:t xml:space="preserve">  </w:t>
            </w:r>
            <w:r w:rsidR="008E2894">
              <w:rPr>
                <w:color w:val="auto"/>
              </w:rPr>
              <w:t xml:space="preserve">Discuss factors impacting enrollment.  </w:t>
            </w:r>
          </w:p>
        </w:tc>
      </w:tr>
      <w:tr w:rsidR="00E961AD">
        <w:trPr>
          <w:trHeight w:val="63"/>
        </w:trPr>
        <w:tc>
          <w:tcPr>
            <w:tcW w:w="9576" w:type="dxa"/>
          </w:tcPr>
          <w:p w:rsidR="001B6DAA" w:rsidRPr="001B6DAA" w:rsidRDefault="001B6DAA" w:rsidP="001B6DAA">
            <w:pPr>
              <w:pStyle w:val="NoSpacing"/>
              <w:jc w:val="both"/>
              <w:rPr>
                <w:rFonts w:ascii="Times New Roman" w:hAnsi="Times New Roman" w:cs="Times New Roman"/>
              </w:rPr>
            </w:pPr>
            <w:r w:rsidRPr="001B6DAA">
              <w:rPr>
                <w:rFonts w:ascii="Times New Roman" w:hAnsi="Times New Roman" w:cs="Times New Roman"/>
              </w:rPr>
              <w:t xml:space="preserve">Clayton State experienced a decline in enrollment over the past two years due to student financial need, changes in eligibility for aid during summer sessions, and a change in leadership in the Office of Undergraduate Admissions. With 62 percent of Clayton State undergraduate students being Pell eligible, changes in financial aid regulations and the lagging economic recovery have negatively impacted enrollment. This fall, 170 registered students were dropped at the start of the semester because they were unable to pay their tuition and fees. The </w:t>
            </w:r>
            <w:r w:rsidR="000746E5" w:rsidRPr="001B6DAA">
              <w:rPr>
                <w:rFonts w:ascii="Times New Roman" w:hAnsi="Times New Roman" w:cs="Times New Roman"/>
              </w:rPr>
              <w:t>changes in Pell support for summer term have</w:t>
            </w:r>
            <w:r w:rsidRPr="001B6DAA">
              <w:rPr>
                <w:rFonts w:ascii="Times New Roman" w:hAnsi="Times New Roman" w:cs="Times New Roman"/>
              </w:rPr>
              <w:t xml:space="preserve"> resulted in declines in summer enrollment totaling more than 35 percent over the past three years. According to a student survey, those not registering for summer term cited financial reasons as the primary reason for their decision. Another challenge over the past year has been the changes in the Admissions Office and the transition to a new Director of Undergraduate Admissions. As will be discussed below, the primary drivers of Clayton State’s previous growth have been the dual-enrollment program and the graduate degree programs. The student populations that are recruited by the Office of Undergraduate Admissions have been declining for several years. Thus, the decision was made in November 2013 to begin a search for a new Director. A new Director with experience in developing effective strategies to reach students in our key geographic and demographic sectors was hired on July 1, 2014 after the primary recruiting season had already passed.  </w:t>
            </w:r>
          </w:p>
          <w:p w:rsidR="001B6DAA" w:rsidRPr="001B6DAA" w:rsidRDefault="001B6DAA" w:rsidP="001B6DAA">
            <w:pPr>
              <w:pStyle w:val="NoSpacing"/>
              <w:jc w:val="both"/>
              <w:rPr>
                <w:rFonts w:ascii="Times New Roman" w:hAnsi="Times New Roman" w:cs="Times New Roman"/>
              </w:rPr>
            </w:pPr>
          </w:p>
          <w:p w:rsidR="001B6DAA" w:rsidRPr="001B6DAA" w:rsidRDefault="001B6DAA" w:rsidP="001B6DAA">
            <w:pPr>
              <w:pStyle w:val="NoSpacing"/>
              <w:jc w:val="both"/>
              <w:rPr>
                <w:rFonts w:ascii="Times New Roman" w:hAnsi="Times New Roman" w:cs="Times New Roman"/>
              </w:rPr>
            </w:pPr>
            <w:r w:rsidRPr="001B6DAA">
              <w:rPr>
                <w:rFonts w:ascii="Times New Roman" w:hAnsi="Times New Roman" w:cs="Times New Roman"/>
              </w:rPr>
              <w:t>Over the past two academic years, headcount and FTE have decreased by approximately 2% and 1.9%. Duplicate fiscal year headcount has decreased from 17,539 in FY2013 to 17,180 in FY2014. For FY2013, the duplicated headcount for Fall and Spring was 14,094 and the FTE was 11,656. For FY2014, the duplicated headcount for Fall and Spring was 14,237 and the FTE was 11,734. Much of the decline in the annual FTE can be attributed to enrollment declines in summer semester. Summer 2013 headcount was 3,444 and Summer 2014 headcount was 2,943, which is a 14.55% decrease. Similarly, FTE from Summer 2013 to Summer 2014 decreased by approximately 17%. There was 1.0% increase in headcount and 0.67% percent increase in FTE for the Fall and Spring semesters. The headcount for Fall 2013 is 7,261, which increased by approximately 1.7% from Fall 2012 headcount of 7,140. The Fall FTE increased from 5,920 in Fall 2013 to 5,999 in Fall 2014 by approximately 1.3%. The headcount for Fall 2014 is 7,023, which is approximately a 3.3% decrease from Fall 2013 headcount of 7,261. This headcount is 322 students less than the Carl Vinson Projection. Again, we believe this shortfall is the result of the economic challenges faced by our students and the leadership changes in the Admissions Office. The Fall FTE decreased by approximately 4.5% from 5,999 in Fall 2013 to 5,732 in Fall 2014.</w:t>
            </w:r>
          </w:p>
          <w:p w:rsidR="001B6DAA" w:rsidRPr="001B6DAA" w:rsidRDefault="001B6DAA" w:rsidP="001B6DAA">
            <w:pPr>
              <w:pStyle w:val="NoSpacing"/>
              <w:jc w:val="both"/>
              <w:rPr>
                <w:rFonts w:ascii="Times New Roman" w:hAnsi="Times New Roman" w:cs="Times New Roman"/>
              </w:rPr>
            </w:pPr>
          </w:p>
          <w:p w:rsidR="001B6DAA" w:rsidRPr="001B6DAA" w:rsidRDefault="001B6DAA" w:rsidP="001B6DAA">
            <w:pPr>
              <w:pStyle w:val="NoSpacing"/>
              <w:jc w:val="both"/>
              <w:rPr>
                <w:rFonts w:ascii="Times New Roman" w:hAnsi="Times New Roman" w:cs="Times New Roman"/>
              </w:rPr>
            </w:pPr>
            <w:r w:rsidRPr="001B6DAA">
              <w:rPr>
                <w:rFonts w:ascii="Times New Roman" w:hAnsi="Times New Roman" w:cs="Times New Roman"/>
              </w:rPr>
              <w:t>The majority of the enrollment growth over the past two fiscal years can be attributed to an increase in dual enrollment and graduate students. The duplicate headcount for dual enrollment has greatly increased since FY 2013 from 530 to 862 (62.64% change) with primary growth in the Fayette County and Henry County Instructional Sites. Dual Enrollment headcount increased by 58.67% (increase of 159 students) from Fall 2012 to Fall 2013 and continues to increase in Fall 2014 with an increase of 26.74% (increase of 115 students) from Fall 2013. Graduate programs are continuing to grow as well. The duplicate headcount for graduate enrollment has increased by approximately 60 students (6.44% change) from FY2013 to FY2014.  Also the graduate Fall headcount increased by 10.84% from Fall 2012 to Fall 2013 and by 5.98 % from Fall 2013 to Fall 2014</w:t>
            </w:r>
            <w:r>
              <w:rPr>
                <w:rFonts w:ascii="Times New Roman" w:hAnsi="Times New Roman" w:cs="Times New Roman"/>
              </w:rPr>
              <w:t>.</w:t>
            </w:r>
          </w:p>
          <w:p w:rsidR="001B6DAA" w:rsidRPr="001B6DAA" w:rsidRDefault="001B6DAA" w:rsidP="001B6DAA">
            <w:pPr>
              <w:pStyle w:val="NoSpacing"/>
              <w:jc w:val="both"/>
              <w:rPr>
                <w:rFonts w:ascii="Times New Roman" w:hAnsi="Times New Roman" w:cs="Times New Roman"/>
              </w:rPr>
            </w:pPr>
          </w:p>
          <w:p w:rsidR="006A16C8" w:rsidRPr="001B6DAA" w:rsidRDefault="001B6DAA" w:rsidP="001B6DAA">
            <w:pPr>
              <w:pStyle w:val="NoSpacing"/>
              <w:jc w:val="both"/>
              <w:rPr>
                <w:rFonts w:ascii="Times New Roman" w:hAnsi="Times New Roman" w:cs="Times New Roman"/>
              </w:rPr>
            </w:pPr>
            <w:r w:rsidRPr="001B6DAA">
              <w:rPr>
                <w:rFonts w:ascii="Times New Roman" w:hAnsi="Times New Roman" w:cs="Times New Roman"/>
              </w:rPr>
              <w:t xml:space="preserve">For the Fall 2012 first-time full-time freshmen, continuing students have increased slightly overall and </w:t>
            </w:r>
            <w:r w:rsidRPr="001B6DAA">
              <w:rPr>
                <w:rFonts w:ascii="Times New Roman" w:hAnsi="Times New Roman" w:cs="Times New Roman"/>
              </w:rPr>
              <w:lastRenderedPageBreak/>
              <w:t xml:space="preserve">significantly due to expanded retention and advising efforts that began with the Fall 2011 cohort. The first-time, full-time institutional retention rate has increased from 67.84% for the Fall 2011 cohort to 72.34% for the Fall 2012 cohort, which was approximately 4.50% increase. The first-time, full-time institutional retention rate has decreased from 72.34% for the Fall 2012 cohort to 68.49% (based on preliminary Fall 2014 enrollment) for the Fall 2013 cohort which was 3.85% decrease. According to the National Student Clearinghouse data, only 50 of the 151 students who did not return enrolled at another institution. This finding along with the student surveys and non-payment trends support the identification as financial need as the primary factor impacting enrollment. </w:t>
            </w:r>
          </w:p>
        </w:tc>
      </w:tr>
    </w:tbl>
    <w:p w:rsidR="008E2894" w:rsidRDefault="008E2894" w:rsidP="00940A65">
      <w:pPr>
        <w:pStyle w:val="Default"/>
        <w:jc w:val="both"/>
        <w:rPr>
          <w:b/>
          <w:color w:val="auto"/>
        </w:rPr>
      </w:pPr>
    </w:p>
    <w:tbl>
      <w:tblPr>
        <w:tblStyle w:val="TableGrid"/>
        <w:tblW w:w="0" w:type="auto"/>
        <w:tblLook w:val="04A0" w:firstRow="1" w:lastRow="0" w:firstColumn="1" w:lastColumn="0" w:noHBand="0" w:noVBand="1"/>
      </w:tblPr>
      <w:tblGrid>
        <w:gridCol w:w="9576"/>
      </w:tblGrid>
      <w:tr w:rsidR="006C66F9" w:rsidRPr="00C24200">
        <w:tc>
          <w:tcPr>
            <w:tcW w:w="9576" w:type="dxa"/>
          </w:tcPr>
          <w:p w:rsidR="006C66F9" w:rsidRPr="00C24200" w:rsidRDefault="006C66F9" w:rsidP="006C66F9">
            <w:pPr>
              <w:pStyle w:val="Default"/>
              <w:numPr>
                <w:ilvl w:val="0"/>
                <w:numId w:val="1"/>
              </w:numPr>
              <w:jc w:val="both"/>
              <w:rPr>
                <w:color w:val="auto"/>
              </w:rPr>
            </w:pPr>
            <w:r>
              <w:rPr>
                <w:color w:val="auto"/>
              </w:rPr>
              <w:t>What are your enrollment projections for the next two years (Fall 2015 and Fall 2016)?  What enrollment management strategies are employed at your institution? What is your institution doing to positively impact enrollment and retention?</w:t>
            </w:r>
          </w:p>
        </w:tc>
      </w:tr>
      <w:tr w:rsidR="006C66F9">
        <w:tc>
          <w:tcPr>
            <w:tcW w:w="9576" w:type="dxa"/>
          </w:tcPr>
          <w:p w:rsidR="00B00A27" w:rsidRPr="00B00A27" w:rsidRDefault="00B00A27" w:rsidP="00B00A27">
            <w:pPr>
              <w:pStyle w:val="Default"/>
              <w:jc w:val="both"/>
              <w:rPr>
                <w:sz w:val="22"/>
                <w:szCs w:val="22"/>
              </w:rPr>
            </w:pPr>
            <w:r w:rsidRPr="00B00A27">
              <w:rPr>
                <w:sz w:val="22"/>
                <w:szCs w:val="22"/>
              </w:rPr>
              <w:t xml:space="preserve">Clayton State University projects a headcount of 7,120 and FTE of 5,811 for Fall 2015 and a headcount of 7,200 and FTE of 5,876 for Fall 2016. </w:t>
            </w:r>
            <w:r w:rsidR="001B6DAA">
              <w:rPr>
                <w:sz w:val="22"/>
                <w:szCs w:val="22"/>
              </w:rPr>
              <w:t xml:space="preserve">These projections reflect a growth rate of 1 percent each year but are lower than the Carl Vinson projections of 7,434 and 7,524 due to the economic factors that are still impacting our students. </w:t>
            </w:r>
            <w:r w:rsidRPr="00B00A27">
              <w:rPr>
                <w:sz w:val="22"/>
                <w:szCs w:val="22"/>
              </w:rPr>
              <w:t>The Division of Enrollment Management &amp; Academic Success oversees new student recruitment and enrollment and supports university-wide initiatives to increase continuing student retention.</w:t>
            </w:r>
          </w:p>
          <w:p w:rsidR="00B00A27" w:rsidRPr="00B00A27" w:rsidRDefault="00B00A27" w:rsidP="00B00A27">
            <w:pPr>
              <w:pStyle w:val="Default"/>
              <w:jc w:val="both"/>
              <w:rPr>
                <w:sz w:val="22"/>
                <w:szCs w:val="22"/>
              </w:rPr>
            </w:pPr>
          </w:p>
          <w:p w:rsidR="00B00A27" w:rsidRPr="00B00A27" w:rsidRDefault="00B00A27" w:rsidP="00B00A27">
            <w:pPr>
              <w:pStyle w:val="Default"/>
              <w:jc w:val="both"/>
              <w:rPr>
                <w:sz w:val="22"/>
                <w:szCs w:val="22"/>
              </w:rPr>
            </w:pPr>
            <w:r w:rsidRPr="00B00A27">
              <w:rPr>
                <w:sz w:val="22"/>
                <w:szCs w:val="22"/>
              </w:rPr>
              <w:t>The Office of Undergraduate Recruitment &amp; Admissions, under the leadership of a new director hired July 1, 2014, will achieve new student enrollment expectations through the development of new initiatives, the enhancements of current initiatives, and through expanded collaboration campus wide. These initiatives, designed to bring a higher level of awareness and visibility to the campus, include high school bus tours and college and program specific information sessions. We will expand communication methods with prospective students to include text messaging and social media. We are also committed to providing a higher level of service to our students which will include invitations for admissions counseling, program advisement, and informational webinars. We are making deliberate efforts to engage with working professionals who have not yet completed their bachelor’s degree. These efforts include initiating contact with the human resources departments of the top employers in Clayton and Henry counties, becoming more heavily involved in the Clayton and Henry counties Chambers of Commerce, and investing in internet search campaigns designed to attract those needing to complete their degree.</w:t>
            </w:r>
            <w:r w:rsidR="001B6DAA">
              <w:rPr>
                <w:sz w:val="22"/>
                <w:szCs w:val="22"/>
              </w:rPr>
              <w:t xml:space="preserve"> This outreach is particularly relevant to Clayton County where 29 percent of adults have some college credit but no degree compared to 21 of Georgians overall. </w:t>
            </w:r>
            <w:r w:rsidRPr="00B00A27">
              <w:rPr>
                <w:sz w:val="22"/>
                <w:szCs w:val="22"/>
              </w:rPr>
              <w:t xml:space="preserve"> </w:t>
            </w:r>
          </w:p>
          <w:p w:rsidR="00B00A27" w:rsidRPr="00B00A27" w:rsidRDefault="00B00A27" w:rsidP="00B00A27">
            <w:pPr>
              <w:pStyle w:val="Default"/>
              <w:jc w:val="both"/>
              <w:rPr>
                <w:sz w:val="22"/>
                <w:szCs w:val="22"/>
              </w:rPr>
            </w:pPr>
          </w:p>
          <w:p w:rsidR="00B00A27" w:rsidRPr="00B00A27" w:rsidRDefault="00B00A27" w:rsidP="00B00A27">
            <w:pPr>
              <w:pStyle w:val="Default"/>
              <w:jc w:val="both"/>
              <w:rPr>
                <w:sz w:val="22"/>
                <w:szCs w:val="22"/>
              </w:rPr>
            </w:pPr>
            <w:r w:rsidRPr="00B00A27">
              <w:rPr>
                <w:sz w:val="22"/>
                <w:szCs w:val="22"/>
              </w:rPr>
              <w:t>We will continue to enhance some of our current successful programs such as fall and spring open houses, degree completion open houses, the counselor luncheon, and regional recruitment receptions. These new and existing strategies, which are outlined in detail in our recruitment plan, will produce an increase in new student applications and an increase in new student enrollment. This plan is designed to highlight unique aspects of the University and promote individual academic offerings through the use of customized strategies that target particular student types.</w:t>
            </w:r>
          </w:p>
          <w:p w:rsidR="00B00A27" w:rsidRPr="00B00A27" w:rsidRDefault="00B00A27" w:rsidP="00B00A27">
            <w:pPr>
              <w:pStyle w:val="Default"/>
              <w:jc w:val="both"/>
              <w:rPr>
                <w:sz w:val="22"/>
                <w:szCs w:val="22"/>
              </w:rPr>
            </w:pPr>
          </w:p>
          <w:p w:rsidR="00B00A27" w:rsidRPr="00B00A27" w:rsidRDefault="00B00A27" w:rsidP="00B00A27">
            <w:pPr>
              <w:pStyle w:val="Default"/>
              <w:jc w:val="both"/>
              <w:rPr>
                <w:sz w:val="22"/>
                <w:szCs w:val="22"/>
              </w:rPr>
            </w:pPr>
            <w:r w:rsidRPr="00B00A27">
              <w:rPr>
                <w:sz w:val="22"/>
                <w:szCs w:val="22"/>
              </w:rPr>
              <w:t>Strategies to support all student retention and completion contin</w:t>
            </w:r>
            <w:r>
              <w:rPr>
                <w:sz w:val="22"/>
                <w:szCs w:val="22"/>
              </w:rPr>
              <w:t>ue to occur in three main areas:</w:t>
            </w:r>
            <w:r w:rsidRPr="00B00A27">
              <w:rPr>
                <w:sz w:val="22"/>
                <w:szCs w:val="22"/>
              </w:rPr>
              <w:t xml:space="preserve"> acad</w:t>
            </w:r>
            <w:r>
              <w:rPr>
                <w:sz w:val="22"/>
                <w:szCs w:val="22"/>
              </w:rPr>
              <w:t>emic support, financial support</w:t>
            </w:r>
            <w:r w:rsidRPr="00B00A27">
              <w:rPr>
                <w:sz w:val="22"/>
                <w:szCs w:val="22"/>
              </w:rPr>
              <w:t xml:space="preserve"> and academic advising. The Center for Academic Success has expanded hours in the center and in the freshman residence hall, increased tutoring opportunities for students, introduced an academic coaching model where faculty and staff refer students experiencing academic difficulty,  created a midterm study session program, and now houses our Operation Study initiative. To support students’ unmet financial need</w:t>
            </w:r>
            <w:r>
              <w:rPr>
                <w:sz w:val="22"/>
                <w:szCs w:val="22"/>
              </w:rPr>
              <w:t>s</w:t>
            </w:r>
            <w:r w:rsidRPr="00B00A27">
              <w:rPr>
                <w:sz w:val="22"/>
                <w:szCs w:val="22"/>
              </w:rPr>
              <w:t xml:space="preserve">, the scholarship initiative </w:t>
            </w:r>
            <w:r w:rsidRPr="00B00A27">
              <w:rPr>
                <w:i/>
                <w:sz w:val="22"/>
                <w:szCs w:val="22"/>
              </w:rPr>
              <w:t>Dream Makers</w:t>
            </w:r>
            <w:r w:rsidRPr="00B00A27">
              <w:rPr>
                <w:sz w:val="22"/>
                <w:szCs w:val="22"/>
              </w:rPr>
              <w:t xml:space="preserve"> continues to assist high achieving students and/or those who are close to completing their degree. This program provided new scholarships for 60 students totaling $51,820 during Fall 2014, bringing our total scholarship award for $358,913 for the 2014-2015 academic year. We anticipate awarding even more scholarships for Fall </w:t>
            </w:r>
            <w:r w:rsidRPr="00B00A27">
              <w:rPr>
                <w:sz w:val="22"/>
                <w:szCs w:val="22"/>
              </w:rPr>
              <w:lastRenderedPageBreak/>
              <w:t xml:space="preserve">2015. The First-Year Advising &amp; Retention Center (FYARC) continues to require first-year students to meet with their advisor monthly through a holistic developmental approach that focuses on the academic, social, emotional, and physical development of the students. The FYARC also requires first-year students to participate in a variety of programs such as career exploration activities, service learning programs, and various team building programs. To enhance the advising experience for all students and to shorten time to degree, Clayton State fully implemented the degree audit program, Degree Works, this past year and has trained over 160 faculty and staff in this program. The Educational Advisory Board’s Student Success Collaborative, which provides analytics to predict student success in courses and majors, was fully implemented as another advising tool in September 2014. </w:t>
            </w:r>
          </w:p>
          <w:p w:rsidR="00B00A27" w:rsidRPr="00B00A27" w:rsidRDefault="00B00A27" w:rsidP="00B00A27">
            <w:pPr>
              <w:pStyle w:val="Default"/>
              <w:jc w:val="both"/>
              <w:rPr>
                <w:sz w:val="22"/>
                <w:szCs w:val="22"/>
              </w:rPr>
            </w:pPr>
          </w:p>
          <w:p w:rsidR="006C66F9" w:rsidRPr="00B00A27" w:rsidRDefault="00B00A27" w:rsidP="001B6DAA">
            <w:pPr>
              <w:pStyle w:val="Default"/>
              <w:jc w:val="both"/>
              <w:rPr>
                <w:sz w:val="22"/>
                <w:szCs w:val="22"/>
              </w:rPr>
            </w:pPr>
            <w:r w:rsidRPr="00B00A27">
              <w:rPr>
                <w:sz w:val="22"/>
                <w:szCs w:val="22"/>
              </w:rPr>
              <w:t>Finally, Clayton State University is currently embarking on a major initiative that will change the academic advising model for all students beyond their freshman year. Research by the Educational Advisory Board, with documented success at Georgia State University, has found that the use of well trained and supported professional advisors increases the student retention rate and reduces the time to graduation. Thus, we are moving toward a centralized model of advising for sophomores, juniors, and seniors. Currently these students are advised in their respective colleges by profess</w:t>
            </w:r>
            <w:r w:rsidR="001B6DAA">
              <w:rPr>
                <w:sz w:val="22"/>
                <w:szCs w:val="22"/>
              </w:rPr>
              <w:t xml:space="preserve">ional and faculty advisors. The </w:t>
            </w:r>
            <w:r w:rsidRPr="00B00A27">
              <w:rPr>
                <w:sz w:val="22"/>
                <w:szCs w:val="22"/>
              </w:rPr>
              <w:t>plan is to move toward hiring more advisors so all students will be advised by a professional advisor in one center, and faculty advisors will work with students in a more mentoring role where they will focus on</w:t>
            </w:r>
            <w:r>
              <w:rPr>
                <w:sz w:val="22"/>
                <w:szCs w:val="22"/>
              </w:rPr>
              <w:t xml:space="preserve"> careers, research, internships</w:t>
            </w:r>
            <w:r w:rsidRPr="00B00A27">
              <w:rPr>
                <w:sz w:val="22"/>
                <w:szCs w:val="22"/>
              </w:rPr>
              <w:t xml:space="preserve"> and graduate school.</w:t>
            </w:r>
          </w:p>
        </w:tc>
      </w:tr>
    </w:tbl>
    <w:p w:rsidR="006C66F9" w:rsidRDefault="006C66F9" w:rsidP="006C66F9">
      <w:pPr>
        <w:pStyle w:val="Default"/>
        <w:jc w:val="both"/>
        <w:rPr>
          <w:color w:val="auto"/>
        </w:rPr>
      </w:pPr>
    </w:p>
    <w:p w:rsidR="000608B0" w:rsidRPr="00A261EA" w:rsidRDefault="000608B0" w:rsidP="00940A65">
      <w:pPr>
        <w:pStyle w:val="Default"/>
        <w:jc w:val="both"/>
        <w:rPr>
          <w:b/>
          <w:color w:val="auto"/>
        </w:rPr>
      </w:pPr>
    </w:p>
    <w:tbl>
      <w:tblPr>
        <w:tblStyle w:val="TableGrid"/>
        <w:tblW w:w="0" w:type="auto"/>
        <w:tblLayout w:type="fixed"/>
        <w:tblLook w:val="04A0" w:firstRow="1" w:lastRow="0" w:firstColumn="1" w:lastColumn="0" w:noHBand="0" w:noVBand="1"/>
      </w:tblPr>
      <w:tblGrid>
        <w:gridCol w:w="9558"/>
      </w:tblGrid>
      <w:tr w:rsidR="00A261EA" w:rsidRPr="00A261EA" w:rsidTr="007C10EE">
        <w:trPr>
          <w:trHeight w:val="323"/>
        </w:trPr>
        <w:tc>
          <w:tcPr>
            <w:tcW w:w="9558" w:type="dxa"/>
          </w:tcPr>
          <w:p w:rsidR="00A261EA" w:rsidRPr="005877D3" w:rsidRDefault="00A261EA" w:rsidP="00F94C2F">
            <w:pPr>
              <w:pStyle w:val="Default"/>
              <w:jc w:val="center"/>
              <w:rPr>
                <w:b/>
                <w:color w:val="auto"/>
                <w:sz w:val="32"/>
                <w:szCs w:val="32"/>
              </w:rPr>
            </w:pPr>
            <w:r w:rsidRPr="005877D3">
              <w:rPr>
                <w:b/>
                <w:color w:val="auto"/>
                <w:sz w:val="32"/>
                <w:szCs w:val="32"/>
              </w:rPr>
              <w:t xml:space="preserve">Part </w:t>
            </w:r>
            <w:r w:rsidR="00F94C2F">
              <w:rPr>
                <w:b/>
                <w:color w:val="auto"/>
                <w:sz w:val="32"/>
                <w:szCs w:val="32"/>
              </w:rPr>
              <w:t>II</w:t>
            </w:r>
            <w:r w:rsidRPr="005877D3">
              <w:rPr>
                <w:b/>
                <w:color w:val="auto"/>
                <w:sz w:val="32"/>
                <w:szCs w:val="32"/>
              </w:rPr>
              <w:t xml:space="preserve">:  </w:t>
            </w:r>
            <w:r w:rsidR="00FA36CB" w:rsidRPr="005877D3">
              <w:rPr>
                <w:b/>
                <w:color w:val="auto"/>
                <w:sz w:val="32"/>
                <w:szCs w:val="32"/>
              </w:rPr>
              <w:t>Institutional Health</w:t>
            </w:r>
          </w:p>
        </w:tc>
      </w:tr>
      <w:tr w:rsidR="00241D44" w:rsidRPr="00A261EA" w:rsidTr="007C10EE">
        <w:tc>
          <w:tcPr>
            <w:tcW w:w="9558" w:type="dxa"/>
          </w:tcPr>
          <w:p w:rsidR="00241D44" w:rsidRPr="00A261EA" w:rsidRDefault="005A10C8" w:rsidP="00646AB8">
            <w:pPr>
              <w:pStyle w:val="Default"/>
              <w:numPr>
                <w:ilvl w:val="0"/>
                <w:numId w:val="1"/>
              </w:numPr>
              <w:jc w:val="both"/>
              <w:rPr>
                <w:color w:val="auto"/>
              </w:rPr>
            </w:pPr>
            <w:r w:rsidRPr="00A261EA">
              <w:rPr>
                <w:color w:val="auto"/>
              </w:rPr>
              <w:t xml:space="preserve">Discuss the financial </w:t>
            </w:r>
            <w:r w:rsidR="00AB79B1" w:rsidRPr="00A261EA">
              <w:rPr>
                <w:color w:val="auto"/>
              </w:rPr>
              <w:t>health</w:t>
            </w:r>
            <w:r w:rsidRPr="00A261EA">
              <w:rPr>
                <w:color w:val="auto"/>
              </w:rPr>
              <w:t xml:space="preserve"> of </w:t>
            </w:r>
            <w:r w:rsidR="00A830D3">
              <w:rPr>
                <w:color w:val="auto"/>
              </w:rPr>
              <w:t>your</w:t>
            </w:r>
            <w:r w:rsidRPr="00A261EA">
              <w:rPr>
                <w:color w:val="auto"/>
              </w:rPr>
              <w:t xml:space="preserve"> institution </w:t>
            </w:r>
            <w:r w:rsidR="00A261EA" w:rsidRPr="00A261EA">
              <w:rPr>
                <w:color w:val="auto"/>
              </w:rPr>
              <w:t>using the</w:t>
            </w:r>
            <w:r w:rsidR="007D1063">
              <w:rPr>
                <w:color w:val="auto"/>
              </w:rPr>
              <w:t xml:space="preserve"> June 30, 201</w:t>
            </w:r>
            <w:r w:rsidR="00067C8A">
              <w:rPr>
                <w:color w:val="auto"/>
              </w:rPr>
              <w:t>4</w:t>
            </w:r>
            <w:r w:rsidR="007D1063">
              <w:rPr>
                <w:color w:val="auto"/>
              </w:rPr>
              <w:t xml:space="preserve"> annual financial statements</w:t>
            </w:r>
            <w:r w:rsidR="00A261EA" w:rsidRPr="00A261EA">
              <w:rPr>
                <w:color w:val="auto"/>
              </w:rPr>
              <w:t xml:space="preserve"> as the basis.  Th</w:t>
            </w:r>
            <w:r w:rsidR="007D1063">
              <w:rPr>
                <w:color w:val="auto"/>
              </w:rPr>
              <w:t>is</w:t>
            </w:r>
            <w:r w:rsidR="00A261EA" w:rsidRPr="00A261EA">
              <w:rPr>
                <w:color w:val="auto"/>
              </w:rPr>
              <w:t xml:space="preserve"> discussion </w:t>
            </w:r>
            <w:r w:rsidR="00A261EA">
              <w:rPr>
                <w:color w:val="auto"/>
              </w:rPr>
              <w:t>should include trend data for</w:t>
            </w:r>
            <w:r w:rsidR="00B51F35">
              <w:rPr>
                <w:color w:val="auto"/>
              </w:rPr>
              <w:t xml:space="preserve"> key financial measures (i.e. cash, reserves, etc.)</w:t>
            </w:r>
            <w:r w:rsidR="006051DB">
              <w:rPr>
                <w:color w:val="auto"/>
              </w:rPr>
              <w:t>.</w:t>
            </w:r>
            <w:r w:rsidR="005D3DF7">
              <w:rPr>
                <w:color w:val="auto"/>
              </w:rPr>
              <w:t xml:space="preserve"> </w:t>
            </w:r>
            <w:r w:rsidR="00646AB8">
              <w:rPr>
                <w:color w:val="auto"/>
              </w:rPr>
              <w:t xml:space="preserve"> Discuss any material audit findings. </w:t>
            </w:r>
            <w:r w:rsidR="006C66F9">
              <w:rPr>
                <w:color w:val="auto"/>
              </w:rPr>
              <w:t xml:space="preserve"> (</w:t>
            </w:r>
            <w:r w:rsidR="006C66F9" w:rsidRPr="006C66F9">
              <w:rPr>
                <w:i/>
                <w:color w:val="auto"/>
              </w:rPr>
              <w:t>Insert charts and graphs as appropriate)</w:t>
            </w:r>
          </w:p>
        </w:tc>
      </w:tr>
      <w:tr w:rsidR="00332091" w:rsidTr="007C10EE">
        <w:tc>
          <w:tcPr>
            <w:tcW w:w="9558" w:type="dxa"/>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 xml:space="preserve">This past March, the University hosted </w:t>
            </w:r>
            <w:r w:rsidR="00443AC0" w:rsidRPr="008A1814">
              <w:rPr>
                <w:rFonts w:ascii="Times New Roman" w:hAnsi="Times New Roman" w:cs="Times New Roman"/>
              </w:rPr>
              <w:t>the</w:t>
            </w:r>
            <w:r w:rsidRPr="008A1814">
              <w:rPr>
                <w:rFonts w:ascii="Times New Roman" w:hAnsi="Times New Roman" w:cs="Times New Roman"/>
              </w:rPr>
              <w:t xml:space="preserve"> Southern Association of Colleges and Schools Commission on Colleges (SACSCOC) or SACS reaffirmation team. As part of the </w:t>
            </w:r>
            <w:r w:rsidR="002107E2" w:rsidRPr="008A1814">
              <w:rPr>
                <w:rFonts w:ascii="Times New Roman" w:hAnsi="Times New Roman" w:cs="Times New Roman"/>
              </w:rPr>
              <w:t>accreditation</w:t>
            </w:r>
            <w:r w:rsidRPr="008A1814">
              <w:rPr>
                <w:rFonts w:ascii="Times New Roman" w:hAnsi="Times New Roman" w:cs="Times New Roman"/>
              </w:rPr>
              <w:t xml:space="preserve"> process, </w:t>
            </w:r>
            <w:r w:rsidR="009A4BBC" w:rsidRPr="008A1814">
              <w:rPr>
                <w:rFonts w:ascii="Times New Roman" w:hAnsi="Times New Roman" w:cs="Times New Roman"/>
              </w:rPr>
              <w:t>institutions</w:t>
            </w:r>
            <w:r w:rsidRPr="008A1814">
              <w:rPr>
                <w:rFonts w:ascii="Times New Roman" w:hAnsi="Times New Roman" w:cs="Times New Roman"/>
              </w:rPr>
              <w:t xml:space="preserve"> must </w:t>
            </w:r>
            <w:r w:rsidR="00443AC0" w:rsidRPr="008A1814">
              <w:rPr>
                <w:rFonts w:ascii="Times New Roman" w:hAnsi="Times New Roman" w:cs="Times New Roman"/>
              </w:rPr>
              <w:t xml:space="preserve">meet several core requirements </w:t>
            </w:r>
            <w:r w:rsidR="00EF65ED" w:rsidRPr="008A1814">
              <w:rPr>
                <w:rFonts w:ascii="Times New Roman" w:hAnsi="Times New Roman" w:cs="Times New Roman"/>
              </w:rPr>
              <w:t xml:space="preserve">and </w:t>
            </w:r>
            <w:r w:rsidR="00443AC0" w:rsidRPr="008A1814">
              <w:rPr>
                <w:rFonts w:ascii="Times New Roman" w:hAnsi="Times New Roman" w:cs="Times New Roman"/>
              </w:rPr>
              <w:t>standards.</w:t>
            </w:r>
            <w:r w:rsidRPr="008A1814">
              <w:rPr>
                <w:rFonts w:ascii="Times New Roman" w:hAnsi="Times New Roman" w:cs="Times New Roman"/>
              </w:rPr>
              <w:t xml:space="preserve"> </w:t>
            </w:r>
            <w:r w:rsidR="00443AC0" w:rsidRPr="008A1814">
              <w:rPr>
                <w:rFonts w:ascii="Times New Roman" w:hAnsi="Times New Roman" w:cs="Times New Roman"/>
              </w:rPr>
              <w:t xml:space="preserve">CSU met Standard </w:t>
            </w:r>
            <w:r w:rsidRPr="008A1814">
              <w:rPr>
                <w:rFonts w:ascii="Times New Roman" w:hAnsi="Times New Roman" w:cs="Times New Roman"/>
                <w:color w:val="000000"/>
              </w:rPr>
              <w:t xml:space="preserve">2.11.1 </w:t>
            </w:r>
            <w:r w:rsidR="00443AC0" w:rsidRPr="008A1814">
              <w:rPr>
                <w:rFonts w:ascii="Times New Roman" w:hAnsi="Times New Roman" w:cs="Times New Roman"/>
                <w:color w:val="000000"/>
              </w:rPr>
              <w:t>which states: “</w:t>
            </w:r>
            <w:r w:rsidRPr="008A1814">
              <w:rPr>
                <w:rFonts w:ascii="Times New Roman" w:hAnsi="Times New Roman" w:cs="Times New Roman"/>
                <w:color w:val="231F20"/>
              </w:rPr>
              <w:t>The institution has a sound financial base and demonstrated financial stability to support the mission of the institution and the scope of its programs and services.</w:t>
            </w:r>
            <w:r w:rsidR="00443AC0" w:rsidRPr="008A1814">
              <w:rPr>
                <w:rFonts w:ascii="Times New Roman" w:hAnsi="Times New Roman" w:cs="Times New Roman"/>
                <w:color w:val="231F20"/>
              </w:rPr>
              <w:t>”</w:t>
            </w:r>
            <w:r w:rsidRPr="008A1814">
              <w:rPr>
                <w:rFonts w:ascii="Times New Roman" w:hAnsi="Times New Roman" w:cs="Times New Roman"/>
                <w:color w:val="231F20"/>
              </w:rPr>
              <w:t xml:space="preserve"> </w:t>
            </w:r>
            <w:r w:rsidRPr="008A1814">
              <w:rPr>
                <w:rFonts w:ascii="Times New Roman" w:hAnsi="Times New Roman" w:cs="Times New Roman"/>
              </w:rPr>
              <w:t xml:space="preserve">The visiting team did not have any findings </w:t>
            </w:r>
            <w:r w:rsidR="00BF64EA" w:rsidRPr="008A1814">
              <w:rPr>
                <w:rFonts w:ascii="Times New Roman" w:hAnsi="Times New Roman" w:cs="Times New Roman"/>
              </w:rPr>
              <w:t xml:space="preserve">or recommendations </w:t>
            </w:r>
            <w:r w:rsidRPr="008A1814">
              <w:rPr>
                <w:rFonts w:ascii="Times New Roman" w:hAnsi="Times New Roman" w:cs="Times New Roman"/>
              </w:rPr>
              <w:t>and the</w:t>
            </w:r>
            <w:r w:rsidR="00EF65ED" w:rsidRPr="008A1814">
              <w:rPr>
                <w:rFonts w:ascii="Times New Roman" w:hAnsi="Times New Roman" w:cs="Times New Roman"/>
              </w:rPr>
              <w:t>y</w:t>
            </w:r>
            <w:r w:rsidRPr="008A1814">
              <w:rPr>
                <w:rFonts w:ascii="Times New Roman" w:hAnsi="Times New Roman" w:cs="Times New Roman"/>
              </w:rPr>
              <w:t xml:space="preserve"> indicated that institution was in compliance with all standards. The University will be reaffirmed in December.</w:t>
            </w:r>
          </w:p>
          <w:p w:rsidR="007C2836" w:rsidRPr="008A1814" w:rsidRDefault="007C2836" w:rsidP="008A1814">
            <w:pPr>
              <w:pStyle w:val="NoSpacing"/>
              <w:rPr>
                <w:rFonts w:ascii="Times New Roman" w:hAnsi="Times New Roman" w:cs="Times New Roman"/>
                <w:color w:val="231F20"/>
                <w:sz w:val="24"/>
                <w:szCs w:val="24"/>
              </w:rPr>
            </w:pPr>
            <w:r w:rsidRPr="008A1814">
              <w:rPr>
                <w:rFonts w:ascii="Times New Roman" w:hAnsi="Times New Roman" w:cs="Times New Roman"/>
                <w:sz w:val="24"/>
                <w:szCs w:val="24"/>
              </w:rPr>
              <w:t xml:space="preserve"> </w:t>
            </w:r>
          </w:p>
          <w:p w:rsidR="007C2836" w:rsidRDefault="00443AC0" w:rsidP="008A1814">
            <w:pPr>
              <w:pStyle w:val="NoSpacing"/>
              <w:rPr>
                <w:rFonts w:ascii="Times New Roman" w:hAnsi="Times New Roman" w:cs="Times New Roman"/>
              </w:rPr>
            </w:pPr>
            <w:r w:rsidRPr="008A1814">
              <w:rPr>
                <w:rFonts w:ascii="Times New Roman" w:hAnsi="Times New Roman" w:cs="Times New Roman"/>
              </w:rPr>
              <w:t>The University remains</w:t>
            </w:r>
            <w:r w:rsidR="007C2836" w:rsidRPr="008A1814">
              <w:rPr>
                <w:rFonts w:ascii="Times New Roman" w:hAnsi="Times New Roman" w:cs="Times New Roman"/>
              </w:rPr>
              <w:t xml:space="preserve"> sound and continues to use its resources in a conservative and prudent manner. </w:t>
            </w:r>
            <w:r w:rsidRPr="008A1814">
              <w:rPr>
                <w:rFonts w:ascii="Times New Roman" w:hAnsi="Times New Roman" w:cs="Times New Roman"/>
              </w:rPr>
              <w:t>CSU</w:t>
            </w:r>
            <w:r w:rsidR="007C2836" w:rsidRPr="008A1814">
              <w:rPr>
                <w:rFonts w:ascii="Times New Roman" w:hAnsi="Times New Roman" w:cs="Times New Roman"/>
              </w:rPr>
              <w:t xml:space="preserve"> continues to adjust to the “New Normal” and strives to grow and improve its financial sustainability in a more competitive higher education market. The institution works diligently to achieve its strategic goals and make strategic decisions to ensure the financial health of the University. </w:t>
            </w:r>
            <w:r w:rsidRPr="008A1814">
              <w:rPr>
                <w:rFonts w:ascii="Times New Roman" w:hAnsi="Times New Roman" w:cs="Times New Roman"/>
              </w:rPr>
              <w:t>CSU</w:t>
            </w:r>
            <w:r w:rsidR="007C2836" w:rsidRPr="008A1814">
              <w:rPr>
                <w:rFonts w:ascii="Times New Roman" w:hAnsi="Times New Roman" w:cs="Times New Roman"/>
              </w:rPr>
              <w:t xml:space="preserve"> meet</w:t>
            </w:r>
            <w:r w:rsidR="00EF65ED" w:rsidRPr="008A1814">
              <w:rPr>
                <w:rFonts w:ascii="Times New Roman" w:hAnsi="Times New Roman" w:cs="Times New Roman"/>
              </w:rPr>
              <w:t>s</w:t>
            </w:r>
            <w:r w:rsidR="007C2836" w:rsidRPr="008A1814">
              <w:rPr>
                <w:rFonts w:ascii="Times New Roman" w:hAnsi="Times New Roman" w:cs="Times New Roman"/>
              </w:rPr>
              <w:t xml:space="preserve"> the needs of its stakeholders while adhering to sound business practices</w:t>
            </w:r>
            <w:r w:rsidR="00EF65ED" w:rsidRPr="008A1814">
              <w:rPr>
                <w:rFonts w:ascii="Times New Roman" w:hAnsi="Times New Roman" w:cs="Times New Roman"/>
              </w:rPr>
              <w:t xml:space="preserve"> </w:t>
            </w:r>
            <w:r w:rsidR="007C2836" w:rsidRPr="008A1814">
              <w:rPr>
                <w:rFonts w:ascii="Times New Roman" w:hAnsi="Times New Roman" w:cs="Times New Roman"/>
              </w:rPr>
              <w:t xml:space="preserve">which drive our operational decisions. We ensure fiscal stewardship by utilizing our resources appropriately to support and enhance the mission of the University and create an atmosphere that encourages all members of the University community to contribute to the overall excellence of the University. We constantly assess and reassess what we are doing so that we can improve our efficiency and effectiveness. </w:t>
            </w:r>
          </w:p>
          <w:p w:rsidR="008A1814" w:rsidRPr="008A1814" w:rsidRDefault="008A1814" w:rsidP="008A1814">
            <w:pPr>
              <w:pStyle w:val="NoSpacing"/>
              <w:rPr>
                <w:rFonts w:ascii="Times New Roman" w:hAnsi="Times New Roman" w:cs="Times New Roman"/>
                <w:sz w:val="24"/>
                <w:szCs w:val="24"/>
              </w:rPr>
            </w:pPr>
          </w:p>
          <w:p w:rsidR="000637D8" w:rsidRDefault="000637D8" w:rsidP="008A1814">
            <w:pPr>
              <w:pStyle w:val="NoSpacing"/>
              <w:rPr>
                <w:rFonts w:ascii="Times New Roman" w:hAnsi="Times New Roman" w:cs="Times New Roman"/>
                <w:b/>
              </w:rPr>
            </w:pPr>
            <w:r w:rsidRPr="008A1814">
              <w:rPr>
                <w:rFonts w:ascii="Times New Roman" w:hAnsi="Times New Roman" w:cs="Times New Roman"/>
                <w:b/>
              </w:rPr>
              <w:t xml:space="preserve">Current State of the University  </w:t>
            </w:r>
          </w:p>
          <w:p w:rsidR="008A1814" w:rsidRPr="008A1814" w:rsidRDefault="008A1814" w:rsidP="008A1814">
            <w:pPr>
              <w:pStyle w:val="NoSpacing"/>
              <w:rPr>
                <w:rFonts w:ascii="Times New Roman" w:hAnsi="Times New Roman" w:cs="Times New Roman"/>
                <w:b/>
              </w:rPr>
            </w:pPr>
          </w:p>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A review of our annual financial statements supports the conclusion that our institution is financially sound</w:t>
            </w:r>
            <w:r w:rsidR="00962B09" w:rsidRPr="008A1814">
              <w:rPr>
                <w:rFonts w:ascii="Times New Roman" w:hAnsi="Times New Roman" w:cs="Times New Roman"/>
              </w:rPr>
              <w:t xml:space="preserve"> and </w:t>
            </w:r>
            <w:r w:rsidRPr="008A1814">
              <w:rPr>
                <w:rFonts w:ascii="Times New Roman" w:hAnsi="Times New Roman" w:cs="Times New Roman"/>
              </w:rPr>
              <w:t xml:space="preserve">has survived the economic downturn. The University is experiencing very moderate financial growth, due primarily to increases in operating revenue. </w:t>
            </w:r>
            <w:r w:rsidR="00EF65ED" w:rsidRPr="008A1814">
              <w:rPr>
                <w:rFonts w:ascii="Times New Roman" w:hAnsi="Times New Roman" w:cs="Times New Roman"/>
              </w:rPr>
              <w:t>The U</w:t>
            </w:r>
            <w:r w:rsidR="002A3BFE" w:rsidRPr="008A1814">
              <w:rPr>
                <w:rFonts w:ascii="Times New Roman" w:hAnsi="Times New Roman" w:cs="Times New Roman"/>
              </w:rPr>
              <w:t xml:space="preserve">niversity is sensitive to changes in </w:t>
            </w:r>
            <w:r w:rsidR="002A3BFE" w:rsidRPr="008A1814">
              <w:rPr>
                <w:rFonts w:ascii="Times New Roman" w:hAnsi="Times New Roman" w:cs="Times New Roman"/>
              </w:rPr>
              <w:lastRenderedPageBreak/>
              <w:t xml:space="preserve">enrollment and making modifications to reduce costs. </w:t>
            </w:r>
            <w:r w:rsidRPr="008A1814">
              <w:rPr>
                <w:rFonts w:ascii="Times New Roman" w:hAnsi="Times New Roman" w:cs="Times New Roman"/>
              </w:rPr>
              <w:t>The numbers below indicate that CSU’s operating revenue continues to have an upward trend. CSU had an increase of 20.42% in operating revenue</w:t>
            </w:r>
            <w:r w:rsidR="00443AC0" w:rsidRPr="008A1814">
              <w:rPr>
                <w:rFonts w:ascii="Times New Roman" w:hAnsi="Times New Roman" w:cs="Times New Roman"/>
              </w:rPr>
              <w:t>s</w:t>
            </w:r>
            <w:r w:rsidRPr="008A1814">
              <w:rPr>
                <w:rFonts w:ascii="Times New Roman" w:hAnsi="Times New Roman" w:cs="Times New Roman"/>
              </w:rPr>
              <w:t xml:space="preserve"> from 2011 to 2014. </w:t>
            </w:r>
          </w:p>
          <w:p w:rsidR="00EF65ED" w:rsidRPr="008A1814" w:rsidRDefault="00EF65ED" w:rsidP="008A1814">
            <w:pPr>
              <w:pStyle w:val="NoSpacing"/>
              <w:rPr>
                <w:rFonts w:ascii="Times New Roman" w:hAnsi="Times New Roman" w:cs="Times New Roman"/>
              </w:rPr>
            </w:pPr>
          </w:p>
          <w:p w:rsidR="00EF65ED" w:rsidRPr="008A1814" w:rsidRDefault="00EF65ED" w:rsidP="008A1814">
            <w:pPr>
              <w:pStyle w:val="NoSpacing"/>
              <w:rPr>
                <w:rFonts w:ascii="Times New Roman" w:hAnsi="Times New Roman" w:cs="Times New Roman"/>
              </w:rPr>
            </w:pPr>
            <w:r w:rsidRPr="008A1814">
              <w:rPr>
                <w:rFonts w:ascii="Times New Roman" w:hAnsi="Times New Roman" w:cs="Times New Roman"/>
              </w:rPr>
              <w:t xml:space="preserve">CSU maintained its operating revenue growth during FY 14 and this allowed CSU to reinvest in its infrastructure and academic programs to provide the highest quality education possible for our students. </w:t>
            </w:r>
          </w:p>
          <w:p w:rsidR="007C2836" w:rsidRPr="008A1814" w:rsidRDefault="007C2836" w:rsidP="008A1814">
            <w:pPr>
              <w:pStyle w:val="NoSpacing"/>
              <w:rPr>
                <w:rFonts w:ascii="Times New Roman" w:hAnsi="Times New Roman" w:cs="Times New Roman"/>
              </w:rPr>
            </w:pPr>
          </w:p>
          <w:p w:rsidR="00962B09" w:rsidRPr="008A1814" w:rsidRDefault="007C2836" w:rsidP="008A1814">
            <w:pPr>
              <w:pStyle w:val="NoSpacing"/>
              <w:rPr>
                <w:rFonts w:ascii="Times New Roman" w:hAnsi="Times New Roman" w:cs="Times New Roman"/>
                <w:b/>
              </w:rPr>
            </w:pPr>
            <w:r w:rsidRPr="008A1814">
              <w:rPr>
                <w:rFonts w:ascii="Times New Roman" w:hAnsi="Times New Roman" w:cs="Times New Roman"/>
                <w:b/>
              </w:rPr>
              <w:t>Table 1</w:t>
            </w:r>
            <w:r w:rsidR="00470694" w:rsidRPr="008A1814">
              <w:rPr>
                <w:rFonts w:ascii="Times New Roman" w:hAnsi="Times New Roman" w:cs="Times New Roman"/>
                <w:b/>
              </w:rPr>
              <w:t>.</w:t>
            </w:r>
          </w:p>
          <w:p w:rsidR="00470694" w:rsidRPr="008A1814" w:rsidRDefault="00470694" w:rsidP="008A1814">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83"/>
              <w:gridCol w:w="1583"/>
              <w:gridCol w:w="1869"/>
              <w:gridCol w:w="1869"/>
            </w:tblGrid>
            <w:tr w:rsidR="007C2836" w:rsidRPr="008A1814" w:rsidTr="00470694">
              <w:tc>
                <w:tcPr>
                  <w:tcW w:w="2155" w:type="dxa"/>
                  <w:shd w:val="clear" w:color="auto" w:fill="auto"/>
                </w:tcPr>
                <w:p w:rsidR="007C2836" w:rsidRPr="008A1814" w:rsidRDefault="007C2836" w:rsidP="008A1814">
                  <w:pPr>
                    <w:pStyle w:val="NoSpacing"/>
                    <w:rPr>
                      <w:rFonts w:ascii="Times New Roman" w:hAnsi="Times New Roman" w:cs="Times New Roman"/>
                    </w:rPr>
                  </w:pPr>
                </w:p>
              </w:tc>
              <w:tc>
                <w:tcPr>
                  <w:tcW w:w="1583" w:type="dxa"/>
                </w:tcPr>
                <w:p w:rsidR="007C2836" w:rsidRPr="008A1814" w:rsidRDefault="007C2836" w:rsidP="008A1814">
                  <w:pPr>
                    <w:pStyle w:val="NoSpacing"/>
                    <w:rPr>
                      <w:rFonts w:ascii="Times New Roman" w:hAnsi="Times New Roman" w:cs="Times New Roman"/>
                      <w:color w:val="FF0000"/>
                    </w:rPr>
                  </w:pPr>
                  <w:r w:rsidRPr="008A1814">
                    <w:rPr>
                      <w:rFonts w:ascii="Times New Roman" w:hAnsi="Times New Roman" w:cs="Times New Roman"/>
                      <w:color w:val="000000" w:themeColor="text1"/>
                    </w:rPr>
                    <w:t>2014</w:t>
                  </w:r>
                </w:p>
              </w:tc>
              <w:tc>
                <w:tcPr>
                  <w:tcW w:w="1583"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2013</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2012</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2011</w:t>
                  </w:r>
                </w:p>
              </w:tc>
            </w:tr>
            <w:tr w:rsidR="007C2836" w:rsidRPr="008A1814" w:rsidTr="00470694">
              <w:tc>
                <w:tcPr>
                  <w:tcW w:w="2155"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Operating Revenue</w:t>
                  </w:r>
                </w:p>
              </w:tc>
              <w:tc>
                <w:tcPr>
                  <w:tcW w:w="1583" w:type="dxa"/>
                </w:tcPr>
                <w:p w:rsidR="007C2836" w:rsidRPr="008A1814" w:rsidRDefault="007C2836" w:rsidP="008A1814">
                  <w:pPr>
                    <w:pStyle w:val="NoSpacing"/>
                    <w:rPr>
                      <w:rFonts w:ascii="Times New Roman" w:hAnsi="Times New Roman" w:cs="Times New Roman"/>
                      <w:color w:val="FF0000"/>
                    </w:rPr>
                  </w:pPr>
                  <w:r w:rsidRPr="008A1814">
                    <w:rPr>
                      <w:rFonts w:ascii="Times New Roman" w:hAnsi="Times New Roman" w:cs="Times New Roman"/>
                      <w:color w:val="000000" w:themeColor="text1"/>
                    </w:rPr>
                    <w:t>$46,104,353</w:t>
                  </w:r>
                </w:p>
              </w:tc>
              <w:tc>
                <w:tcPr>
                  <w:tcW w:w="1583"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$45,821,615</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$42,549,207</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$38,286,863</w:t>
                  </w:r>
                </w:p>
              </w:tc>
            </w:tr>
            <w:tr w:rsidR="007C2836" w:rsidRPr="008A1814" w:rsidTr="00470694">
              <w:tc>
                <w:tcPr>
                  <w:tcW w:w="2155"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Student HC (</w:t>
                  </w:r>
                  <w:r w:rsidRPr="008A1814">
                    <w:rPr>
                      <w:rFonts w:ascii="Times New Roman" w:hAnsi="Times New Roman" w:cs="Times New Roman"/>
                      <w:i/>
                    </w:rPr>
                    <w:t>Fall)</w:t>
                  </w:r>
                </w:p>
              </w:tc>
              <w:tc>
                <w:tcPr>
                  <w:tcW w:w="1583" w:type="dxa"/>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7,023</w:t>
                  </w:r>
                </w:p>
              </w:tc>
              <w:tc>
                <w:tcPr>
                  <w:tcW w:w="1583"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7,261</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7,140</w:t>
                  </w:r>
                </w:p>
              </w:tc>
              <w:tc>
                <w:tcPr>
                  <w:tcW w:w="1869" w:type="dxa"/>
                  <w:shd w:val="clear" w:color="auto" w:fill="auto"/>
                </w:tcPr>
                <w:p w:rsidR="007C2836" w:rsidRPr="008A1814" w:rsidRDefault="007C2836" w:rsidP="008A1814">
                  <w:pPr>
                    <w:pStyle w:val="NoSpacing"/>
                    <w:rPr>
                      <w:rFonts w:ascii="Times New Roman" w:hAnsi="Times New Roman" w:cs="Times New Roman"/>
                    </w:rPr>
                  </w:pPr>
                  <w:r w:rsidRPr="008A1814">
                    <w:rPr>
                      <w:rFonts w:ascii="Times New Roman" w:hAnsi="Times New Roman" w:cs="Times New Roman"/>
                    </w:rPr>
                    <w:t>6,860</w:t>
                  </w:r>
                </w:p>
              </w:tc>
            </w:tr>
          </w:tbl>
          <w:p w:rsidR="007C2836" w:rsidRPr="008A1814" w:rsidRDefault="007C2836" w:rsidP="008A1814">
            <w:pPr>
              <w:pStyle w:val="NoSpacing"/>
              <w:rPr>
                <w:rFonts w:ascii="Times New Roman" w:hAnsi="Times New Roman" w:cs="Times New Roman"/>
              </w:rPr>
            </w:pPr>
          </w:p>
          <w:p w:rsidR="007C2836" w:rsidRPr="008A1814" w:rsidRDefault="007C2836" w:rsidP="008A1814">
            <w:pPr>
              <w:pStyle w:val="NoSpacing"/>
              <w:rPr>
                <w:rFonts w:ascii="Times New Roman" w:hAnsi="Times New Roman" w:cs="Times New Roman"/>
              </w:rPr>
            </w:pP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CSU is employing standard measures t</w:t>
            </w:r>
            <w:r w:rsidR="00443AC0" w:rsidRPr="008A1814">
              <w:rPr>
                <w:rFonts w:ascii="Times New Roman" w:hAnsi="Times New Roman" w:cs="Times New Roman"/>
              </w:rPr>
              <w:t>o</w:t>
            </w:r>
            <w:r w:rsidRPr="008A1814">
              <w:rPr>
                <w:rFonts w:ascii="Times New Roman" w:hAnsi="Times New Roman" w:cs="Times New Roman"/>
              </w:rPr>
              <w:t xml:space="preserve"> serve as a basis for evaluating the overall financial health of the institution. </w:t>
            </w:r>
            <w:r w:rsidRPr="008A1814">
              <w:rPr>
                <w:rFonts w:ascii="Times New Roman" w:hAnsi="Times New Roman" w:cs="Times New Roman"/>
                <w:b/>
              </w:rPr>
              <w:t>Table 2</w:t>
            </w:r>
            <w:r w:rsidRPr="008A1814">
              <w:rPr>
                <w:rFonts w:ascii="Times New Roman" w:hAnsi="Times New Roman" w:cs="Times New Roman"/>
              </w:rPr>
              <w:t xml:space="preserve"> below provides our figures based on the System Offices’ </w:t>
            </w:r>
            <w:r w:rsidR="00EF65ED" w:rsidRPr="008A1814">
              <w:rPr>
                <w:rFonts w:ascii="Times New Roman" w:hAnsi="Times New Roman" w:cs="Times New Roman"/>
              </w:rPr>
              <w:t>use</w:t>
            </w:r>
            <w:r w:rsidRPr="008A1814">
              <w:rPr>
                <w:rFonts w:ascii="Times New Roman" w:hAnsi="Times New Roman" w:cs="Times New Roman"/>
              </w:rPr>
              <w:t xml:space="preserve"> of six key financial ratios. The ratios are derived from several balances from the Annual Financial Report including; the Statement of Revenues, Expenses, and Changes in Net Assets/Position, and the Statement of Net Position. The ratios provide a quick but limited overview of the current health of the institution and can be used </w:t>
            </w:r>
            <w:r w:rsidRPr="008A1814">
              <w:rPr>
                <w:rFonts w:ascii="Times New Roman" w:hAnsi="Times New Roman" w:cs="Times New Roman"/>
                <w:i/>
              </w:rPr>
              <w:t>with other factors</w:t>
            </w:r>
            <w:r w:rsidRPr="008A1814">
              <w:rPr>
                <w:rFonts w:ascii="Times New Roman" w:hAnsi="Times New Roman" w:cs="Times New Roman"/>
              </w:rPr>
              <w:t xml:space="preserve"> to help make assessments about the status of the institution. </w:t>
            </w:r>
          </w:p>
          <w:p w:rsidR="00962B09" w:rsidRPr="008A1814" w:rsidRDefault="00962B09" w:rsidP="008A1814">
            <w:pPr>
              <w:pStyle w:val="NoSpacing"/>
              <w:rPr>
                <w:rFonts w:ascii="Times New Roman" w:hAnsi="Times New Roman" w:cs="Times New Roman"/>
                <w:sz w:val="24"/>
                <w:szCs w:val="24"/>
              </w:rPr>
            </w:pPr>
          </w:p>
          <w:p w:rsidR="002D389F" w:rsidRPr="00443AC0" w:rsidRDefault="002D389F" w:rsidP="002D389F">
            <w:pPr>
              <w:widowControl w:val="0"/>
              <w:autoSpaceDE w:val="0"/>
              <w:autoSpaceDN w:val="0"/>
              <w:adjustRightInd w:val="0"/>
              <w:spacing w:line="276" w:lineRule="auto"/>
              <w:jc w:val="both"/>
              <w:rPr>
                <w:rFonts w:ascii="Times New Roman" w:hAnsi="Times New Roman" w:cs="Times New Roman"/>
                <w:b/>
              </w:rPr>
            </w:pPr>
            <w:r w:rsidRPr="00443AC0">
              <w:rPr>
                <w:rFonts w:ascii="Times New Roman" w:hAnsi="Times New Roman" w:cs="Times New Roman"/>
                <w:b/>
              </w:rPr>
              <w:t>Table 2.</w:t>
            </w:r>
          </w:p>
          <w:p w:rsidR="002D389F" w:rsidRPr="002107E2" w:rsidRDefault="002D389F" w:rsidP="002D389F">
            <w:pPr>
              <w:widowControl w:val="0"/>
              <w:autoSpaceDE w:val="0"/>
              <w:autoSpaceDN w:val="0"/>
              <w:adjustRightInd w:val="0"/>
              <w:spacing w:line="276" w:lineRule="auto"/>
              <w:jc w:val="both"/>
              <w:rPr>
                <w:rFonts w:ascii="Times New Roman" w:hAnsi="Times New Roman" w:cs="Times New Roman"/>
                <w:b/>
                <w:sz w:val="24"/>
                <w:szCs w:val="24"/>
              </w:rPr>
            </w:pPr>
          </w:p>
          <w:tbl>
            <w:tblPr>
              <w:tblW w:w="8992" w:type="dxa"/>
              <w:tblInd w:w="93" w:type="dxa"/>
              <w:tblLayout w:type="fixed"/>
              <w:tblLook w:val="04A0" w:firstRow="1" w:lastRow="0" w:firstColumn="1" w:lastColumn="0" w:noHBand="0" w:noVBand="1"/>
            </w:tblPr>
            <w:tblGrid>
              <w:gridCol w:w="3145"/>
              <w:gridCol w:w="1707"/>
              <w:gridCol w:w="1890"/>
              <w:gridCol w:w="2250"/>
            </w:tblGrid>
            <w:tr w:rsidR="002D389F" w:rsidRPr="002107E2" w:rsidTr="001B6DAA">
              <w:trPr>
                <w:trHeight w:val="315"/>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b/>
                      <w:sz w:val="24"/>
                      <w:szCs w:val="24"/>
                    </w:rPr>
                  </w:pPr>
                  <w:r w:rsidRPr="002107E2">
                    <w:rPr>
                      <w:rFonts w:ascii="Times New Roman" w:hAnsi="Times New Roman" w:cs="Times New Roman"/>
                      <w:b/>
                      <w:sz w:val="24"/>
                      <w:szCs w:val="24"/>
                    </w:rPr>
                    <w:t>Ratios</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b/>
                      <w:bCs/>
                      <w:sz w:val="24"/>
                      <w:szCs w:val="24"/>
                    </w:rPr>
                  </w:pPr>
                  <w:r w:rsidRPr="002107E2">
                    <w:rPr>
                      <w:rFonts w:ascii="Times New Roman" w:eastAsia="Times New Roman" w:hAnsi="Times New Roman" w:cs="Times New Roman"/>
                      <w:b/>
                      <w:bCs/>
                      <w:sz w:val="24"/>
                      <w:szCs w:val="24"/>
                    </w:rPr>
                    <w:t>6/30/2014</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b/>
                      <w:bCs/>
                      <w:sz w:val="24"/>
                      <w:szCs w:val="24"/>
                    </w:rPr>
                  </w:pPr>
                  <w:r w:rsidRPr="002107E2">
                    <w:rPr>
                      <w:rFonts w:ascii="Times New Roman" w:eastAsia="Times New Roman" w:hAnsi="Times New Roman" w:cs="Times New Roman"/>
                      <w:b/>
                      <w:bCs/>
                      <w:sz w:val="24"/>
                      <w:szCs w:val="24"/>
                    </w:rPr>
                    <w:t>6/30/2013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b/>
                      <w:bCs/>
                      <w:sz w:val="24"/>
                      <w:szCs w:val="24"/>
                    </w:rPr>
                  </w:pPr>
                  <w:r w:rsidRPr="002107E2">
                    <w:rPr>
                      <w:rFonts w:ascii="Times New Roman" w:eastAsia="Times New Roman" w:hAnsi="Times New Roman" w:cs="Times New Roman"/>
                      <w:b/>
                      <w:bCs/>
                      <w:sz w:val="24"/>
                      <w:szCs w:val="24"/>
                    </w:rPr>
                    <w:t>6/30/2012</w:t>
                  </w:r>
                </w:p>
              </w:tc>
            </w:tr>
            <w:tr w:rsidR="002D389F" w:rsidRPr="002107E2" w:rsidTr="001B6DAA">
              <w:trPr>
                <w:trHeight w:val="315"/>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Primary Reserve Ratio</w:t>
                  </w:r>
                </w:p>
              </w:tc>
              <w:tc>
                <w:tcPr>
                  <w:tcW w:w="1707"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0.063</w:t>
                  </w:r>
                </w:p>
              </w:tc>
              <w:tc>
                <w:tcPr>
                  <w:tcW w:w="189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0.076</w:t>
                  </w:r>
                </w:p>
              </w:tc>
              <w:tc>
                <w:tcPr>
                  <w:tcW w:w="225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0.070</w:t>
                  </w:r>
                </w:p>
              </w:tc>
            </w:tr>
            <w:tr w:rsidR="002D389F" w:rsidRPr="002107E2" w:rsidTr="001B6DAA">
              <w:trPr>
                <w:trHeight w:val="315"/>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Viability Ratio</w:t>
                  </w:r>
                </w:p>
              </w:tc>
              <w:tc>
                <w:tcPr>
                  <w:tcW w:w="1707"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 xml:space="preserve">0.076 </w:t>
                  </w:r>
                </w:p>
              </w:tc>
              <w:tc>
                <w:tcPr>
                  <w:tcW w:w="189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0.089</w:t>
                  </w:r>
                </w:p>
              </w:tc>
              <w:tc>
                <w:tcPr>
                  <w:tcW w:w="225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0.083</w:t>
                  </w:r>
                </w:p>
              </w:tc>
            </w:tr>
            <w:tr w:rsidR="002D389F" w:rsidRPr="002107E2" w:rsidTr="001B6DAA">
              <w:trPr>
                <w:trHeight w:val="315"/>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Return on Net Assets Ratio</w:t>
                  </w:r>
                </w:p>
              </w:tc>
              <w:tc>
                <w:tcPr>
                  <w:tcW w:w="1707"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(0.073</w:t>
                  </w:r>
                  <w:r w:rsidRPr="002107E2">
                    <w:rPr>
                      <w:rFonts w:ascii="Times New Roman" w:eastAsia="Times New Roman" w:hAnsi="Times New Roman" w:cs="Times New Roman"/>
                      <w:sz w:val="24"/>
                      <w:szCs w:val="24"/>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(0.058</w:t>
                  </w:r>
                  <w:r w:rsidRPr="002107E2">
                    <w:rPr>
                      <w:rFonts w:ascii="Times New Roman" w:eastAsia="Times New Roman" w:hAnsi="Times New Roman" w:cs="Times New Roman"/>
                      <w:sz w:val="24"/>
                      <w:szCs w:val="24"/>
                    </w:rPr>
                    <w:t>)</w:t>
                  </w:r>
                </w:p>
              </w:tc>
              <w:tc>
                <w:tcPr>
                  <w:tcW w:w="225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(0.127</w:t>
                  </w:r>
                  <w:r w:rsidRPr="002107E2">
                    <w:rPr>
                      <w:rFonts w:ascii="Times New Roman" w:eastAsia="Times New Roman" w:hAnsi="Times New Roman" w:cs="Times New Roman"/>
                      <w:sz w:val="24"/>
                      <w:szCs w:val="24"/>
                    </w:rPr>
                    <w:t>)</w:t>
                  </w:r>
                </w:p>
              </w:tc>
            </w:tr>
            <w:tr w:rsidR="002D389F" w:rsidRPr="002107E2" w:rsidTr="001B6DAA">
              <w:trPr>
                <w:trHeight w:val="315"/>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Current Ratio</w:t>
                  </w:r>
                </w:p>
              </w:tc>
              <w:tc>
                <w:tcPr>
                  <w:tcW w:w="1707"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2.310</w:t>
                  </w:r>
                </w:p>
              </w:tc>
              <w:tc>
                <w:tcPr>
                  <w:tcW w:w="189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2.070</w:t>
                  </w:r>
                </w:p>
              </w:tc>
              <w:tc>
                <w:tcPr>
                  <w:tcW w:w="225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1.970</w:t>
                  </w:r>
                </w:p>
              </w:tc>
            </w:tr>
            <w:tr w:rsidR="002D389F" w:rsidRPr="002107E2" w:rsidTr="001B6DAA">
              <w:trPr>
                <w:trHeight w:val="315"/>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Cash Ratio</w:t>
                  </w:r>
                </w:p>
              </w:tc>
              <w:tc>
                <w:tcPr>
                  <w:tcW w:w="1707"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1.930</w:t>
                  </w:r>
                </w:p>
              </w:tc>
              <w:tc>
                <w:tcPr>
                  <w:tcW w:w="189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1.850</w:t>
                  </w:r>
                </w:p>
              </w:tc>
              <w:tc>
                <w:tcPr>
                  <w:tcW w:w="2250" w:type="dxa"/>
                  <w:tcBorders>
                    <w:top w:val="nil"/>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1.790</w:t>
                  </w:r>
                </w:p>
              </w:tc>
            </w:tr>
            <w:tr w:rsidR="002D389F" w:rsidRPr="002107E2" w:rsidTr="001B6DAA">
              <w:trPr>
                <w:trHeight w:val="315"/>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Capital Liability Burden Ratio</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0.0487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0.066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D389F" w:rsidRPr="002107E2" w:rsidRDefault="002D389F" w:rsidP="001B6DAA">
                  <w:pPr>
                    <w:spacing w:line="276" w:lineRule="auto"/>
                    <w:jc w:val="both"/>
                    <w:rPr>
                      <w:rFonts w:ascii="Times New Roman" w:eastAsia="Times New Roman" w:hAnsi="Times New Roman" w:cs="Times New Roman"/>
                      <w:sz w:val="24"/>
                      <w:szCs w:val="24"/>
                    </w:rPr>
                  </w:pPr>
                  <w:r w:rsidRPr="002107E2">
                    <w:rPr>
                      <w:rFonts w:ascii="Times New Roman" w:eastAsia="Times New Roman" w:hAnsi="Times New Roman" w:cs="Times New Roman"/>
                      <w:sz w:val="24"/>
                      <w:szCs w:val="24"/>
                    </w:rPr>
                    <w:t>0.0693</w:t>
                  </w:r>
                </w:p>
              </w:tc>
            </w:tr>
          </w:tbl>
          <w:p w:rsidR="00962B09" w:rsidRPr="008A1814" w:rsidRDefault="00962B09" w:rsidP="008A1814">
            <w:pPr>
              <w:pStyle w:val="NoSpacing"/>
              <w:rPr>
                <w:rFonts w:ascii="Times New Roman" w:hAnsi="Times New Roman" w:cs="Times New Roman"/>
                <w:sz w:val="24"/>
                <w:szCs w:val="24"/>
              </w:rPr>
            </w:pPr>
          </w:p>
          <w:p w:rsidR="00770538" w:rsidRPr="008A1814" w:rsidRDefault="00770538" w:rsidP="008A1814">
            <w:pPr>
              <w:pStyle w:val="NoSpacing"/>
              <w:rPr>
                <w:rFonts w:ascii="Times New Roman" w:hAnsi="Times New Roman" w:cs="Times New Roman"/>
                <w:i/>
              </w:rPr>
            </w:pPr>
            <w:r w:rsidRPr="008A1814">
              <w:rPr>
                <w:rFonts w:ascii="Times New Roman" w:hAnsi="Times New Roman" w:cs="Times New Roman"/>
              </w:rPr>
              <w:t xml:space="preserve">The </w:t>
            </w:r>
            <w:r w:rsidRPr="008A1814">
              <w:rPr>
                <w:rFonts w:ascii="Times New Roman" w:hAnsi="Times New Roman" w:cs="Times New Roman"/>
                <w:b/>
              </w:rPr>
              <w:t>primary reserve ratio</w:t>
            </w:r>
            <w:r w:rsidRPr="008A1814">
              <w:rPr>
                <w:rFonts w:ascii="Times New Roman" w:hAnsi="Times New Roman" w:cs="Times New Roman"/>
              </w:rPr>
              <w:t xml:space="preserve"> measures the financial strength of the institution by comparing net assets to total expense</w:t>
            </w:r>
            <w:r w:rsidR="00443AC0" w:rsidRPr="008A1814">
              <w:rPr>
                <w:rFonts w:ascii="Times New Roman" w:hAnsi="Times New Roman" w:cs="Times New Roman"/>
              </w:rPr>
              <w:t>s</w:t>
            </w:r>
            <w:r w:rsidRPr="008A1814">
              <w:rPr>
                <w:rFonts w:ascii="Times New Roman" w:hAnsi="Times New Roman" w:cs="Times New Roman"/>
              </w:rPr>
              <w:t xml:space="preserve">. </w:t>
            </w:r>
            <w:r w:rsidR="00962B09" w:rsidRPr="008A1814">
              <w:rPr>
                <w:rFonts w:ascii="Times New Roman" w:hAnsi="Times New Roman" w:cs="Times New Roman"/>
              </w:rPr>
              <w:t>T</w:t>
            </w:r>
            <w:r w:rsidRPr="008A1814">
              <w:rPr>
                <w:rFonts w:ascii="Times New Roman" w:hAnsi="Times New Roman" w:cs="Times New Roman"/>
              </w:rPr>
              <w:t xml:space="preserve">he </w:t>
            </w:r>
            <w:r w:rsidR="00962B09" w:rsidRPr="008A1814">
              <w:rPr>
                <w:rFonts w:ascii="Times New Roman" w:hAnsi="Times New Roman" w:cs="Times New Roman"/>
              </w:rPr>
              <w:t xml:space="preserve">ratio decreased </w:t>
            </w:r>
            <w:r w:rsidRPr="008A1814">
              <w:rPr>
                <w:rFonts w:ascii="Times New Roman" w:hAnsi="Times New Roman" w:cs="Times New Roman"/>
              </w:rPr>
              <w:t xml:space="preserve">from 0.075 to 0.063 due primarily to interest expense on capital leases. </w:t>
            </w:r>
            <w:r w:rsidR="00443AC0" w:rsidRPr="008A1814">
              <w:rPr>
                <w:rFonts w:ascii="Times New Roman" w:hAnsi="Times New Roman" w:cs="Times New Roman"/>
              </w:rPr>
              <w:t xml:space="preserve">Capital lease debt was incurred to provide affordable, on-campus housing for the students. </w:t>
            </w:r>
            <w:r w:rsidR="00962B09" w:rsidRPr="008A1814">
              <w:rPr>
                <w:rFonts w:ascii="Times New Roman" w:hAnsi="Times New Roman" w:cs="Times New Roman"/>
              </w:rPr>
              <w:t xml:space="preserve">The University made the decision almost a decade ago to acquire debt for its strategic </w:t>
            </w:r>
            <w:r w:rsidR="00BF64EA" w:rsidRPr="008A1814">
              <w:rPr>
                <w:rFonts w:ascii="Times New Roman" w:hAnsi="Times New Roman" w:cs="Times New Roman"/>
              </w:rPr>
              <w:t xml:space="preserve">housing </w:t>
            </w:r>
            <w:r w:rsidR="00962B09" w:rsidRPr="008A1814">
              <w:rPr>
                <w:rFonts w:ascii="Times New Roman" w:hAnsi="Times New Roman" w:cs="Times New Roman"/>
              </w:rPr>
              <w:t xml:space="preserve">goals. </w:t>
            </w:r>
            <w:r w:rsidRPr="008A1814">
              <w:rPr>
                <w:rFonts w:ascii="Times New Roman" w:hAnsi="Times New Roman" w:cs="Times New Roman"/>
              </w:rPr>
              <w:t xml:space="preserve">CSU has managed </w:t>
            </w:r>
            <w:r w:rsidR="00443AC0" w:rsidRPr="008A1814">
              <w:rPr>
                <w:rFonts w:ascii="Times New Roman" w:hAnsi="Times New Roman" w:cs="Times New Roman"/>
              </w:rPr>
              <w:t xml:space="preserve">this </w:t>
            </w:r>
            <w:r w:rsidRPr="008A1814">
              <w:rPr>
                <w:rFonts w:ascii="Times New Roman" w:hAnsi="Times New Roman" w:cs="Times New Roman"/>
              </w:rPr>
              <w:t xml:space="preserve">debt strategically to advance the mission of </w:t>
            </w:r>
            <w:r w:rsidR="00443AC0" w:rsidRPr="008A1814">
              <w:rPr>
                <w:rFonts w:ascii="Times New Roman" w:hAnsi="Times New Roman" w:cs="Times New Roman"/>
              </w:rPr>
              <w:t>the university to “cultivate</w:t>
            </w:r>
            <w:r w:rsidRPr="008A1814">
              <w:rPr>
                <w:rFonts w:ascii="Times New Roman" w:hAnsi="Times New Roman" w:cs="Times New Roman"/>
              </w:rPr>
              <w:t xml:space="preserve"> an environment of engaged, experienced-based learning, enriched by active community </w:t>
            </w:r>
            <w:r w:rsidR="009A4BBC" w:rsidRPr="008A1814">
              <w:rPr>
                <w:rFonts w:ascii="Times New Roman" w:hAnsi="Times New Roman" w:cs="Times New Roman"/>
              </w:rPr>
              <w:t>service, which</w:t>
            </w:r>
            <w:r w:rsidRPr="008A1814">
              <w:rPr>
                <w:rFonts w:ascii="Times New Roman" w:hAnsi="Times New Roman" w:cs="Times New Roman"/>
              </w:rPr>
              <w:t xml:space="preserve"> prepares students of diverse ages and backgrounds to succeed in their lives and careers</w:t>
            </w:r>
            <w:r w:rsidR="00962B09" w:rsidRPr="008A1814">
              <w:rPr>
                <w:rFonts w:ascii="Times New Roman" w:hAnsi="Times New Roman" w:cs="Times New Roman"/>
              </w:rPr>
              <w:t>.</w:t>
            </w:r>
            <w:r w:rsidRPr="008A1814">
              <w:rPr>
                <w:rFonts w:ascii="Times New Roman" w:hAnsi="Times New Roman" w:cs="Times New Roman"/>
              </w:rPr>
              <w:t xml:space="preserve">” </w:t>
            </w:r>
            <w:r w:rsidRPr="008A1814">
              <w:rPr>
                <w:rFonts w:ascii="Times New Roman" w:hAnsi="Times New Roman" w:cs="Times New Roman"/>
                <w:i/>
              </w:rPr>
              <w:t xml:space="preserve">It should be noted that the University has and will continue to maintain sufficient expendable net assets (or resources) to cover it expenses </w:t>
            </w:r>
            <w:r w:rsidR="00BF64EA" w:rsidRPr="008A1814">
              <w:rPr>
                <w:rFonts w:ascii="Times New Roman" w:hAnsi="Times New Roman" w:cs="Times New Roman"/>
                <w:i/>
              </w:rPr>
              <w:t>and obligations</w:t>
            </w:r>
            <w:r w:rsidRPr="008A1814">
              <w:rPr>
                <w:rFonts w:ascii="Times New Roman" w:hAnsi="Times New Roman" w:cs="Times New Roman"/>
                <w:i/>
              </w:rPr>
              <w:t>.</w:t>
            </w:r>
          </w:p>
          <w:p w:rsidR="00770538" w:rsidRPr="008A1814" w:rsidRDefault="00770538" w:rsidP="008A1814">
            <w:pPr>
              <w:pStyle w:val="NoSpacing"/>
              <w:rPr>
                <w:rFonts w:ascii="Times New Roman" w:hAnsi="Times New Roman" w:cs="Times New Roman"/>
              </w:rPr>
            </w:pP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xml:space="preserve">The </w:t>
            </w:r>
            <w:r w:rsidRPr="008A1814">
              <w:rPr>
                <w:rFonts w:ascii="Times New Roman" w:hAnsi="Times New Roman" w:cs="Times New Roman"/>
                <w:b/>
              </w:rPr>
              <w:t>viability ratio</w:t>
            </w:r>
            <w:r w:rsidRPr="008A1814">
              <w:rPr>
                <w:rFonts w:ascii="Times New Roman" w:hAnsi="Times New Roman" w:cs="Times New Roman"/>
              </w:rPr>
              <w:t xml:space="preserve"> measures the availability of expendable net assets to cover debt should the institution need to settle its obligations as of the balance sheet date. For fiscal years 2013 and 2014, the </w:t>
            </w:r>
            <w:r w:rsidR="00443AC0" w:rsidRPr="008A1814">
              <w:rPr>
                <w:rFonts w:ascii="Times New Roman" w:hAnsi="Times New Roman" w:cs="Times New Roman"/>
              </w:rPr>
              <w:t xml:space="preserve">ratio </w:t>
            </w:r>
            <w:r w:rsidRPr="008A1814">
              <w:rPr>
                <w:rFonts w:ascii="Times New Roman" w:hAnsi="Times New Roman" w:cs="Times New Roman"/>
              </w:rPr>
              <w:t xml:space="preserve">decreased from 0.089 to 0.076.  Although the PRR and VR ratios decreased, CSU has adequate funds to cover the current portion of its long-term debt and meet its current obligations. The University has maintained operating efficiency and adequate capital to cover its current liabilities as demonstrated with the </w:t>
            </w:r>
            <w:r w:rsidR="00443AC0" w:rsidRPr="008A1814">
              <w:rPr>
                <w:rFonts w:ascii="Times New Roman" w:hAnsi="Times New Roman" w:cs="Times New Roman"/>
              </w:rPr>
              <w:t>“</w:t>
            </w:r>
            <w:r w:rsidRPr="008A1814">
              <w:rPr>
                <w:rFonts w:ascii="Times New Roman" w:hAnsi="Times New Roman" w:cs="Times New Roman"/>
              </w:rPr>
              <w:t>current</w:t>
            </w:r>
            <w:r w:rsidR="00443AC0" w:rsidRPr="008A1814">
              <w:rPr>
                <w:rFonts w:ascii="Times New Roman" w:hAnsi="Times New Roman" w:cs="Times New Roman"/>
              </w:rPr>
              <w:t>”</w:t>
            </w:r>
            <w:r w:rsidRPr="008A1814">
              <w:rPr>
                <w:rFonts w:ascii="Times New Roman" w:hAnsi="Times New Roman" w:cs="Times New Roman"/>
              </w:rPr>
              <w:t xml:space="preserve"> and </w:t>
            </w:r>
            <w:r w:rsidR="00443AC0" w:rsidRPr="008A1814">
              <w:rPr>
                <w:rFonts w:ascii="Times New Roman" w:hAnsi="Times New Roman" w:cs="Times New Roman"/>
              </w:rPr>
              <w:t>“</w:t>
            </w:r>
            <w:r w:rsidRPr="008A1814">
              <w:rPr>
                <w:rFonts w:ascii="Times New Roman" w:hAnsi="Times New Roman" w:cs="Times New Roman"/>
              </w:rPr>
              <w:t>cash</w:t>
            </w:r>
            <w:r w:rsidR="00443AC0" w:rsidRPr="008A1814">
              <w:rPr>
                <w:rFonts w:ascii="Times New Roman" w:hAnsi="Times New Roman" w:cs="Times New Roman"/>
              </w:rPr>
              <w:t>”</w:t>
            </w:r>
            <w:r w:rsidRPr="008A1814">
              <w:rPr>
                <w:rFonts w:ascii="Times New Roman" w:hAnsi="Times New Roman" w:cs="Times New Roman"/>
              </w:rPr>
              <w:t xml:space="preserve"> ratios. </w:t>
            </w:r>
          </w:p>
          <w:p w:rsidR="00770538" w:rsidRPr="008A1814" w:rsidRDefault="00770538" w:rsidP="008A1814">
            <w:pPr>
              <w:pStyle w:val="NoSpacing"/>
              <w:rPr>
                <w:rFonts w:ascii="Times New Roman" w:hAnsi="Times New Roman" w:cs="Times New Roman"/>
              </w:rPr>
            </w:pP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lastRenderedPageBreak/>
              <w:t xml:space="preserve">The </w:t>
            </w:r>
            <w:r w:rsidRPr="008A1814">
              <w:rPr>
                <w:rFonts w:ascii="Times New Roman" w:hAnsi="Times New Roman" w:cs="Times New Roman"/>
                <w:b/>
              </w:rPr>
              <w:t>current ratio</w:t>
            </w:r>
            <w:r w:rsidRPr="008A1814">
              <w:rPr>
                <w:rFonts w:ascii="Times New Roman" w:hAnsi="Times New Roman" w:cs="Times New Roman"/>
              </w:rPr>
              <w:t xml:space="preserve"> calculation gives us the amount of current assets available to pay each $1 in current liabilities. </w:t>
            </w:r>
            <w:r w:rsidR="00443AC0" w:rsidRPr="008A1814">
              <w:rPr>
                <w:rFonts w:ascii="Times New Roman" w:hAnsi="Times New Roman" w:cs="Times New Roman"/>
              </w:rPr>
              <w:t xml:space="preserve">In </w:t>
            </w:r>
            <w:r w:rsidRPr="008A1814">
              <w:rPr>
                <w:rFonts w:ascii="Times New Roman" w:hAnsi="Times New Roman" w:cs="Times New Roman"/>
              </w:rPr>
              <w:t xml:space="preserve">FY2014 the university had $2.31 in current assets </w:t>
            </w:r>
            <w:r w:rsidR="00443AC0" w:rsidRPr="008A1814">
              <w:rPr>
                <w:rFonts w:ascii="Times New Roman" w:hAnsi="Times New Roman" w:cs="Times New Roman"/>
              </w:rPr>
              <w:t>for</w:t>
            </w:r>
            <w:r w:rsidRPr="008A1814">
              <w:rPr>
                <w:rFonts w:ascii="Times New Roman" w:hAnsi="Times New Roman" w:cs="Times New Roman"/>
              </w:rPr>
              <w:t xml:space="preserve"> each $1 in current liabilities.   </w:t>
            </w:r>
          </w:p>
          <w:p w:rsidR="00770538" w:rsidRPr="008A1814" w:rsidRDefault="00770538" w:rsidP="008A1814">
            <w:pPr>
              <w:pStyle w:val="NoSpacing"/>
              <w:rPr>
                <w:rFonts w:ascii="Times New Roman" w:hAnsi="Times New Roman" w:cs="Times New Roman"/>
              </w:rPr>
            </w:pP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xml:space="preserve">The </w:t>
            </w:r>
            <w:r w:rsidRPr="008A1814">
              <w:rPr>
                <w:rFonts w:ascii="Times New Roman" w:hAnsi="Times New Roman" w:cs="Times New Roman"/>
                <w:b/>
              </w:rPr>
              <w:t>cash ratio</w:t>
            </w:r>
            <w:r w:rsidRPr="008A1814">
              <w:rPr>
                <w:rFonts w:ascii="Times New Roman" w:hAnsi="Times New Roman" w:cs="Times New Roman"/>
              </w:rPr>
              <w:t xml:space="preserve"> shows how well an institution can pay off its current liabilities with only cash and cash equivalents. This ratio shows cash and equivalents as a percentage of current liabilities. For example, in FY2014 the </w:t>
            </w:r>
            <w:r w:rsidR="00443AC0" w:rsidRPr="008A1814">
              <w:rPr>
                <w:rFonts w:ascii="Times New Roman" w:hAnsi="Times New Roman" w:cs="Times New Roman"/>
              </w:rPr>
              <w:t>U</w:t>
            </w:r>
            <w:r w:rsidRPr="008A1814">
              <w:rPr>
                <w:rFonts w:ascii="Times New Roman" w:hAnsi="Times New Roman" w:cs="Times New Roman"/>
              </w:rPr>
              <w:t xml:space="preserve">niversity’s ratio was 1.93.  </w:t>
            </w:r>
          </w:p>
          <w:p w:rsidR="00770538" w:rsidRPr="008A1814" w:rsidRDefault="00770538" w:rsidP="008A1814">
            <w:pPr>
              <w:pStyle w:val="NoSpacing"/>
              <w:rPr>
                <w:rFonts w:ascii="Times New Roman" w:hAnsi="Times New Roman" w:cs="Times New Roman"/>
              </w:rPr>
            </w:pP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xml:space="preserve">The </w:t>
            </w:r>
            <w:r w:rsidRPr="008A1814">
              <w:rPr>
                <w:rFonts w:ascii="Times New Roman" w:hAnsi="Times New Roman" w:cs="Times New Roman"/>
                <w:b/>
              </w:rPr>
              <w:t>return on net assets ratio</w:t>
            </w:r>
            <w:r w:rsidRPr="008A1814">
              <w:rPr>
                <w:rFonts w:ascii="Times New Roman" w:hAnsi="Times New Roman" w:cs="Times New Roman"/>
              </w:rPr>
              <w:t xml:space="preserve"> is based on the level and changes in total net assets, regardless of the asset classification, and is a broad measure of the change in total wealth over a year. It represents the increase in net assets as a percentage of beginning net assets. For fiscal year 2013 and 2014, the Un</w:t>
            </w:r>
            <w:r w:rsidR="00443AC0" w:rsidRPr="008A1814">
              <w:rPr>
                <w:rFonts w:ascii="Times New Roman" w:hAnsi="Times New Roman" w:cs="Times New Roman"/>
              </w:rPr>
              <w:t>iversity experienced a decrease</w:t>
            </w:r>
            <w:r w:rsidRPr="008A1814">
              <w:rPr>
                <w:rFonts w:ascii="Times New Roman" w:hAnsi="Times New Roman" w:cs="Times New Roman"/>
              </w:rPr>
              <w:t xml:space="preserve"> in the return on net assets from </w:t>
            </w:r>
            <w:r w:rsidR="00443AC0" w:rsidRPr="008A1814">
              <w:rPr>
                <w:rFonts w:ascii="Times New Roman" w:hAnsi="Times New Roman" w:cs="Times New Roman"/>
              </w:rPr>
              <w:t>-0.058 to -</w:t>
            </w:r>
            <w:r w:rsidRPr="008A1814">
              <w:rPr>
                <w:rFonts w:ascii="Times New Roman" w:hAnsi="Times New Roman" w:cs="Times New Roman"/>
              </w:rPr>
              <w:t xml:space="preserve">0.073 due primarily to an increase </w:t>
            </w:r>
            <w:r w:rsidR="00BF64EA" w:rsidRPr="008A1814">
              <w:rPr>
                <w:rFonts w:ascii="Times New Roman" w:hAnsi="Times New Roman" w:cs="Times New Roman"/>
              </w:rPr>
              <w:t xml:space="preserve">in </w:t>
            </w:r>
            <w:r w:rsidRPr="008A1814">
              <w:rPr>
                <w:rFonts w:ascii="Times New Roman" w:hAnsi="Times New Roman" w:cs="Times New Roman"/>
              </w:rPr>
              <w:t xml:space="preserve">interest expense. </w:t>
            </w:r>
            <w:r w:rsidR="007C10EE">
              <w:rPr>
                <w:rFonts w:ascii="Times New Roman" w:hAnsi="Times New Roman" w:cs="Times New Roman"/>
              </w:rPr>
              <w:t>T</w:t>
            </w:r>
            <w:r w:rsidRPr="008A1814">
              <w:rPr>
                <w:rFonts w:ascii="Times New Roman" w:hAnsi="Times New Roman" w:cs="Times New Roman"/>
              </w:rPr>
              <w:t>his ratio will improve in fiscal year 2015</w:t>
            </w:r>
            <w:r w:rsidR="001208D2" w:rsidRPr="008A1814">
              <w:rPr>
                <w:rFonts w:ascii="Times New Roman" w:hAnsi="Times New Roman" w:cs="Times New Roman"/>
              </w:rPr>
              <w:t>/16</w:t>
            </w:r>
            <w:r w:rsidRPr="008A1814">
              <w:rPr>
                <w:rFonts w:ascii="Times New Roman" w:hAnsi="Times New Roman" w:cs="Times New Roman"/>
              </w:rPr>
              <w:t xml:space="preserve"> </w:t>
            </w:r>
            <w:r w:rsidR="007C10EE">
              <w:rPr>
                <w:rFonts w:ascii="Times New Roman" w:hAnsi="Times New Roman" w:cs="Times New Roman"/>
              </w:rPr>
              <w:t>when</w:t>
            </w:r>
            <w:r w:rsidRPr="008A1814">
              <w:rPr>
                <w:rFonts w:ascii="Times New Roman" w:hAnsi="Times New Roman" w:cs="Times New Roman"/>
              </w:rPr>
              <w:t xml:space="preserve"> the University </w:t>
            </w:r>
            <w:r w:rsidR="001208D2" w:rsidRPr="008A1814">
              <w:rPr>
                <w:rFonts w:ascii="Times New Roman" w:hAnsi="Times New Roman" w:cs="Times New Roman"/>
              </w:rPr>
              <w:t>acquire</w:t>
            </w:r>
            <w:r w:rsidR="007C10EE">
              <w:rPr>
                <w:rFonts w:ascii="Times New Roman" w:hAnsi="Times New Roman" w:cs="Times New Roman"/>
              </w:rPr>
              <w:t>s</w:t>
            </w:r>
            <w:r w:rsidR="001208D2" w:rsidRPr="008A1814">
              <w:rPr>
                <w:rFonts w:ascii="Times New Roman" w:hAnsi="Times New Roman" w:cs="Times New Roman"/>
              </w:rPr>
              <w:t xml:space="preserve"> the new Sc</w:t>
            </w:r>
            <w:r w:rsidR="007C10EE">
              <w:rPr>
                <w:rFonts w:ascii="Times New Roman" w:hAnsi="Times New Roman" w:cs="Times New Roman"/>
              </w:rPr>
              <w:t>ience Building.</w:t>
            </w:r>
          </w:p>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xml:space="preserve"> </w:t>
            </w:r>
          </w:p>
          <w:p w:rsidR="001208D2" w:rsidRPr="008A1814" w:rsidRDefault="00770538" w:rsidP="008A1814">
            <w:pPr>
              <w:pStyle w:val="NoSpacing"/>
              <w:rPr>
                <w:rFonts w:ascii="Times New Roman" w:hAnsi="Times New Roman" w:cs="Times New Roman"/>
              </w:rPr>
            </w:pPr>
            <w:r w:rsidRPr="008A1814">
              <w:rPr>
                <w:rFonts w:ascii="Times New Roman" w:hAnsi="Times New Roman" w:cs="Times New Roman"/>
              </w:rPr>
              <w:t xml:space="preserve">The </w:t>
            </w:r>
            <w:r w:rsidRPr="008A1814">
              <w:rPr>
                <w:rFonts w:ascii="Times New Roman" w:hAnsi="Times New Roman" w:cs="Times New Roman"/>
                <w:b/>
              </w:rPr>
              <w:t>capital liability burden</w:t>
            </w:r>
            <w:r w:rsidRPr="008A1814">
              <w:rPr>
                <w:rFonts w:ascii="Times New Roman" w:hAnsi="Times New Roman" w:cs="Times New Roman"/>
              </w:rPr>
              <w:t xml:space="preserve"> ratio consist of the percentage of total revenues in any given fiscal year that are used to pay an institution’s capital lease payments associated with the PPV program. It reflects what percentage of an institution’s income is used to make PPV payments and is a generally accepted method of measuring an institution’s capacity to enter into additional PPV capital lease arrangements. For FY2014, our capital liability burden ratio was 4.87, which does not exceed the five (5) percent benchmark established by BOR.</w:t>
            </w:r>
            <w:r w:rsidR="001208D2" w:rsidRPr="008A1814">
              <w:rPr>
                <w:rFonts w:ascii="Times New Roman" w:hAnsi="Times New Roman" w:cs="Times New Roman"/>
              </w:rPr>
              <w:t xml:space="preserve"> CSU has no plans to enter into any other PPV projects for the next several years. </w:t>
            </w:r>
          </w:p>
          <w:p w:rsidR="001208D2" w:rsidRPr="008A1814" w:rsidRDefault="001208D2" w:rsidP="008A1814">
            <w:pPr>
              <w:pStyle w:val="NoSpacing"/>
              <w:rPr>
                <w:rFonts w:ascii="Times New Roman" w:hAnsi="Times New Roman" w:cs="Times New Roman"/>
              </w:rPr>
            </w:pPr>
          </w:p>
          <w:p w:rsidR="001208D2" w:rsidRPr="008A1814" w:rsidRDefault="001208D2" w:rsidP="008A1814">
            <w:pPr>
              <w:pStyle w:val="NoSpacing"/>
              <w:rPr>
                <w:rFonts w:ascii="Times New Roman" w:hAnsi="Times New Roman" w:cs="Times New Roman"/>
              </w:rPr>
            </w:pPr>
            <w:r w:rsidRPr="008A1814">
              <w:rPr>
                <w:rFonts w:ascii="Times New Roman" w:hAnsi="Times New Roman" w:cs="Times New Roman"/>
              </w:rPr>
              <w:t>Many institutional stakeholders and regulators look to these lagging ratio indicators to assess an entity’s fiscal health. However, these indicators cannot be used in a vacuum. For example, the addition of the new science building in FY2015 or 16 will lead to an improvement of the Return on Net Assets and Net Operating Revenue.</w:t>
            </w:r>
            <w:r w:rsidR="00BF64EA" w:rsidRPr="008A1814">
              <w:rPr>
                <w:rFonts w:ascii="Times New Roman" w:hAnsi="Times New Roman" w:cs="Times New Roman"/>
              </w:rPr>
              <w:t xml:space="preserve"> If we maintain all other variables constant, the return on net asset</w:t>
            </w:r>
            <w:r w:rsidR="00923514">
              <w:rPr>
                <w:rFonts w:ascii="Times New Roman" w:hAnsi="Times New Roman" w:cs="Times New Roman"/>
              </w:rPr>
              <w:t>s would increase 592% from -.058</w:t>
            </w:r>
            <w:r w:rsidR="00BF64EA" w:rsidRPr="008A1814">
              <w:rPr>
                <w:rFonts w:ascii="Times New Roman" w:hAnsi="Times New Roman" w:cs="Times New Roman"/>
              </w:rPr>
              <w:t xml:space="preserve"> to .283. Likewise the </w:t>
            </w:r>
            <w:r w:rsidR="00923514">
              <w:rPr>
                <w:rFonts w:ascii="Times New Roman" w:hAnsi="Times New Roman" w:cs="Times New Roman"/>
              </w:rPr>
              <w:t>Capital Liability B</w:t>
            </w:r>
            <w:r w:rsidR="00BF64EA" w:rsidRPr="008A1814">
              <w:rPr>
                <w:rFonts w:ascii="Times New Roman" w:hAnsi="Times New Roman" w:cs="Times New Roman"/>
              </w:rPr>
              <w:t>urden goes from .0487 to .</w:t>
            </w:r>
            <w:r w:rsidR="00923514">
              <w:rPr>
                <w:rFonts w:ascii="Times New Roman" w:hAnsi="Times New Roman" w:cs="Times New Roman"/>
              </w:rPr>
              <w:t>0399</w:t>
            </w:r>
            <w:r w:rsidR="00BF64EA" w:rsidRPr="008A1814">
              <w:rPr>
                <w:rFonts w:ascii="Times New Roman" w:hAnsi="Times New Roman" w:cs="Times New Roman"/>
              </w:rPr>
              <w:t xml:space="preserve">. </w:t>
            </w:r>
            <w:r w:rsidRPr="008A1814">
              <w:rPr>
                <w:rFonts w:ascii="Times New Roman" w:hAnsi="Times New Roman" w:cs="Times New Roman"/>
              </w:rPr>
              <w:t xml:space="preserve"> </w:t>
            </w:r>
          </w:p>
          <w:p w:rsidR="001208D2" w:rsidRPr="008A1814" w:rsidRDefault="001208D2" w:rsidP="008A1814">
            <w:pPr>
              <w:pStyle w:val="NoSpacing"/>
              <w:rPr>
                <w:rFonts w:ascii="Times New Roman" w:hAnsi="Times New Roman" w:cs="Times New Roman"/>
              </w:rPr>
            </w:pPr>
          </w:p>
          <w:p w:rsidR="00770538" w:rsidRPr="008A1814" w:rsidRDefault="001208D2" w:rsidP="008A1814">
            <w:pPr>
              <w:pStyle w:val="NoSpacing"/>
              <w:rPr>
                <w:rFonts w:ascii="Times New Roman" w:hAnsi="Times New Roman" w:cs="Times New Roman"/>
                <w:color w:val="FF0000"/>
              </w:rPr>
            </w:pPr>
            <w:r w:rsidRPr="008A1814">
              <w:rPr>
                <w:rFonts w:ascii="Times New Roman" w:hAnsi="Times New Roman" w:cs="Times New Roman"/>
              </w:rPr>
              <w:t>These ratios should not be the only measures that should be considered when ascertaining the health of an institution because CSU continue to implement changes i</w:t>
            </w:r>
            <w:r w:rsidR="00425F1B" w:rsidRPr="008A1814">
              <w:rPr>
                <w:rFonts w:ascii="Times New Roman" w:hAnsi="Times New Roman" w:cs="Times New Roman"/>
              </w:rPr>
              <w:t xml:space="preserve">n business practices that yield </w:t>
            </w:r>
            <w:r w:rsidRPr="008A1814">
              <w:rPr>
                <w:rFonts w:ascii="Times New Roman" w:hAnsi="Times New Roman" w:cs="Times New Roman"/>
              </w:rPr>
              <w:t>administrative efficiencies and cost-saving as well as increase revenues where possible.</w:t>
            </w:r>
            <w:r w:rsidR="00770538" w:rsidRPr="008A1814">
              <w:rPr>
                <w:rFonts w:ascii="Times New Roman" w:hAnsi="Times New Roman" w:cs="Times New Roman"/>
                <w:color w:val="000000" w:themeColor="text1"/>
              </w:rPr>
              <w:t xml:space="preserve">   </w:t>
            </w:r>
          </w:p>
          <w:p w:rsidR="00770538" w:rsidRPr="008A1814" w:rsidRDefault="00770538" w:rsidP="008A1814">
            <w:pPr>
              <w:pStyle w:val="NoSpacing"/>
              <w:rPr>
                <w:rFonts w:ascii="Times New Roman" w:hAnsi="Times New Roman" w:cs="Times New Roman"/>
                <w:b/>
              </w:rPr>
            </w:pPr>
          </w:p>
          <w:p w:rsidR="00770538" w:rsidRPr="008A1814" w:rsidRDefault="001208D2" w:rsidP="008A1814">
            <w:pPr>
              <w:pStyle w:val="NoSpacing"/>
              <w:rPr>
                <w:rFonts w:ascii="Times New Roman" w:hAnsi="Times New Roman" w:cs="Times New Roman"/>
              </w:rPr>
            </w:pPr>
            <w:r w:rsidRPr="008A1814">
              <w:rPr>
                <w:rFonts w:ascii="Times New Roman" w:hAnsi="Times New Roman" w:cs="Times New Roman"/>
              </w:rPr>
              <w:t>As</w:t>
            </w:r>
            <w:r w:rsidR="00770538" w:rsidRPr="008A1814">
              <w:rPr>
                <w:rFonts w:ascii="Times New Roman" w:hAnsi="Times New Roman" w:cs="Times New Roman"/>
              </w:rPr>
              <w:t xml:space="preserve"> the need to demonstrate more accountability and good stewardship of </w:t>
            </w:r>
            <w:r w:rsidR="00EF65ED" w:rsidRPr="008A1814">
              <w:rPr>
                <w:rFonts w:ascii="Times New Roman" w:hAnsi="Times New Roman" w:cs="Times New Roman"/>
              </w:rPr>
              <w:t>institutional</w:t>
            </w:r>
            <w:r w:rsidR="00770538" w:rsidRPr="008A1814">
              <w:rPr>
                <w:rFonts w:ascii="Times New Roman" w:hAnsi="Times New Roman" w:cs="Times New Roman"/>
              </w:rPr>
              <w:t xml:space="preserve"> funds, Clayton State continues to operate efficiently. As the chart displays</w:t>
            </w:r>
            <w:r w:rsidR="00EF65ED" w:rsidRPr="008A1814">
              <w:rPr>
                <w:rFonts w:ascii="Times New Roman" w:hAnsi="Times New Roman" w:cs="Times New Roman"/>
              </w:rPr>
              <w:t xml:space="preserve"> (</w:t>
            </w:r>
            <w:r w:rsidR="00EF65ED" w:rsidRPr="008A1814">
              <w:rPr>
                <w:rFonts w:ascii="Times New Roman" w:hAnsi="Times New Roman" w:cs="Times New Roman"/>
                <w:b/>
              </w:rPr>
              <w:t>Table 3</w:t>
            </w:r>
            <w:r w:rsidR="00EF65ED" w:rsidRPr="008A1814">
              <w:rPr>
                <w:rFonts w:ascii="Times New Roman" w:hAnsi="Times New Roman" w:cs="Times New Roman"/>
              </w:rPr>
              <w:t>)</w:t>
            </w:r>
            <w:r w:rsidR="00770538" w:rsidRPr="008A1814">
              <w:rPr>
                <w:rFonts w:ascii="Times New Roman" w:hAnsi="Times New Roman" w:cs="Times New Roman"/>
              </w:rPr>
              <w:t xml:space="preserve">, CSU operating revenue </w:t>
            </w:r>
            <w:r w:rsidR="00EF65ED" w:rsidRPr="008A1814">
              <w:rPr>
                <w:rFonts w:ascii="Times New Roman" w:hAnsi="Times New Roman" w:cs="Times New Roman"/>
              </w:rPr>
              <w:t xml:space="preserve">increased </w:t>
            </w:r>
            <w:r w:rsidR="00770538" w:rsidRPr="008A1814">
              <w:rPr>
                <w:rFonts w:ascii="Times New Roman" w:hAnsi="Times New Roman" w:cs="Times New Roman"/>
              </w:rPr>
              <w:t xml:space="preserve">per FTE of </w:t>
            </w:r>
            <w:r w:rsidR="0070017A" w:rsidRPr="008A1814">
              <w:rPr>
                <w:rFonts w:ascii="Times New Roman" w:hAnsi="Times New Roman" w:cs="Times New Roman"/>
              </w:rPr>
              <w:t>11% from 2011</w:t>
            </w:r>
            <w:r w:rsidR="00770538" w:rsidRPr="008A1814">
              <w:rPr>
                <w:rFonts w:ascii="Times New Roman" w:hAnsi="Times New Roman" w:cs="Times New Roman"/>
              </w:rPr>
              <w:t xml:space="preserve"> to 2014.</w:t>
            </w:r>
            <w:r w:rsidR="00EF65ED" w:rsidRPr="008A1814">
              <w:rPr>
                <w:rFonts w:ascii="Times New Roman" w:hAnsi="Times New Roman" w:cs="Times New Roman"/>
              </w:rPr>
              <w:t xml:space="preserve"> Moreover, the University continues to control operating costs per FTE. (</w:t>
            </w:r>
            <w:r w:rsidR="00EF65ED" w:rsidRPr="008A1814">
              <w:rPr>
                <w:rFonts w:ascii="Times New Roman" w:hAnsi="Times New Roman" w:cs="Times New Roman"/>
                <w:b/>
              </w:rPr>
              <w:t>Table 4</w:t>
            </w:r>
            <w:r w:rsidR="00EF65ED" w:rsidRPr="008A1814">
              <w:rPr>
                <w:rFonts w:ascii="Times New Roman" w:hAnsi="Times New Roman" w:cs="Times New Roman"/>
              </w:rPr>
              <w:t>).</w:t>
            </w:r>
          </w:p>
          <w:p w:rsidR="00470694" w:rsidRPr="008A1814" w:rsidRDefault="00470694" w:rsidP="008A1814">
            <w:pPr>
              <w:pStyle w:val="NoSpacing"/>
              <w:rPr>
                <w:rFonts w:ascii="Times New Roman" w:hAnsi="Times New Roman" w:cs="Times New Roman"/>
                <w:sz w:val="24"/>
                <w:szCs w:val="24"/>
              </w:rPr>
            </w:pPr>
          </w:p>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Table 3</w:t>
            </w:r>
            <w:r w:rsidR="00470694" w:rsidRPr="008A1814">
              <w:rPr>
                <w:rFonts w:ascii="Times New Roman" w:hAnsi="Times New Roman" w:cs="Times New Roman"/>
                <w:b/>
              </w:rPr>
              <w:t>.</w:t>
            </w:r>
          </w:p>
          <w:p w:rsidR="00470694" w:rsidRPr="008A1814" w:rsidRDefault="00470694" w:rsidP="008A1814">
            <w:pPr>
              <w:pStyle w:val="NoSpacing"/>
              <w:rPr>
                <w:rFonts w:ascii="Times New Roman" w:hAnsi="Times New Roman" w:cs="Times New Roman"/>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77"/>
              <w:gridCol w:w="1440"/>
              <w:gridCol w:w="2340"/>
            </w:tblGrid>
            <w:tr w:rsidR="00770538" w:rsidRPr="008A1814" w:rsidTr="00470694">
              <w:tc>
                <w:tcPr>
                  <w:tcW w:w="3258" w:type="dxa"/>
                  <w:shd w:val="clear" w:color="auto" w:fill="auto"/>
                </w:tcPr>
                <w:p w:rsidR="00770538" w:rsidRPr="008A1814" w:rsidRDefault="00770538" w:rsidP="008A1814">
                  <w:pPr>
                    <w:pStyle w:val="NoSpacing"/>
                    <w:rPr>
                      <w:rFonts w:ascii="Times New Roman" w:hAnsi="Times New Roman" w:cs="Times New Roman"/>
                    </w:rPr>
                  </w:pPr>
                </w:p>
              </w:tc>
              <w:tc>
                <w:tcPr>
                  <w:tcW w:w="1777" w:type="dxa"/>
                  <w:shd w:val="clear" w:color="auto" w:fill="auto"/>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2014</w:t>
                  </w:r>
                </w:p>
              </w:tc>
              <w:tc>
                <w:tcPr>
                  <w:tcW w:w="1440" w:type="dxa"/>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2013</w:t>
                  </w:r>
                </w:p>
              </w:tc>
              <w:tc>
                <w:tcPr>
                  <w:tcW w:w="2340" w:type="dxa"/>
                  <w:shd w:val="clear" w:color="auto" w:fill="auto"/>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2012</w:t>
                  </w:r>
                </w:p>
              </w:tc>
            </w:tr>
            <w:tr w:rsidR="00770538" w:rsidRPr="008A1814" w:rsidTr="00470694">
              <w:tc>
                <w:tcPr>
                  <w:tcW w:w="3258" w:type="dxa"/>
                  <w:shd w:val="clear" w:color="auto" w:fill="auto"/>
                </w:tcPr>
                <w:p w:rsidR="00770538" w:rsidRPr="008A1814" w:rsidRDefault="0070017A" w:rsidP="008A1814">
                  <w:pPr>
                    <w:pStyle w:val="NoSpacing"/>
                    <w:rPr>
                      <w:rFonts w:ascii="Times New Roman" w:hAnsi="Times New Roman" w:cs="Times New Roman"/>
                    </w:rPr>
                  </w:pPr>
                  <w:r w:rsidRPr="008A1814">
                    <w:rPr>
                      <w:rFonts w:ascii="Times New Roman" w:hAnsi="Times New Roman" w:cs="Times New Roman"/>
                    </w:rPr>
                    <w:t xml:space="preserve">Total </w:t>
                  </w:r>
                  <w:r w:rsidR="00770538" w:rsidRPr="008A1814">
                    <w:rPr>
                      <w:rFonts w:ascii="Times New Roman" w:hAnsi="Times New Roman" w:cs="Times New Roman"/>
                    </w:rPr>
                    <w:t>Operating Revenue Per FTE</w:t>
                  </w:r>
                </w:p>
              </w:tc>
              <w:tc>
                <w:tcPr>
                  <w:tcW w:w="1777" w:type="dxa"/>
                  <w:shd w:val="clear" w:color="auto" w:fill="auto"/>
                </w:tcPr>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$7,</w:t>
                  </w:r>
                  <w:r w:rsidR="0070017A" w:rsidRPr="008A1814">
                    <w:rPr>
                      <w:rFonts w:ascii="Times New Roman" w:hAnsi="Times New Roman" w:cs="Times New Roman"/>
                    </w:rPr>
                    <w:t>685</w:t>
                  </w:r>
                </w:p>
              </w:tc>
              <w:tc>
                <w:tcPr>
                  <w:tcW w:w="1440" w:type="dxa"/>
                </w:tcPr>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$7,</w:t>
                  </w:r>
                  <w:r w:rsidR="0070017A" w:rsidRPr="008A1814">
                    <w:rPr>
                      <w:rFonts w:ascii="Times New Roman" w:hAnsi="Times New Roman" w:cs="Times New Roman"/>
                    </w:rPr>
                    <w:t>740</w:t>
                  </w:r>
                </w:p>
              </w:tc>
              <w:tc>
                <w:tcPr>
                  <w:tcW w:w="2340" w:type="dxa"/>
                  <w:shd w:val="clear" w:color="auto" w:fill="auto"/>
                </w:tcPr>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$7,</w:t>
                  </w:r>
                  <w:r w:rsidR="0070017A" w:rsidRPr="008A1814">
                    <w:rPr>
                      <w:rFonts w:ascii="Times New Roman" w:hAnsi="Times New Roman" w:cs="Times New Roman"/>
                    </w:rPr>
                    <w:t>426</w:t>
                  </w:r>
                </w:p>
              </w:tc>
            </w:tr>
          </w:tbl>
          <w:p w:rsidR="00770538" w:rsidRPr="008A1814" w:rsidRDefault="00770538" w:rsidP="008A1814">
            <w:pPr>
              <w:pStyle w:val="NoSpacing"/>
              <w:rPr>
                <w:rFonts w:ascii="Times New Roman" w:hAnsi="Times New Roman" w:cs="Times New Roman"/>
                <w:sz w:val="24"/>
                <w:szCs w:val="24"/>
              </w:rPr>
            </w:pPr>
            <w:r w:rsidRPr="008A1814">
              <w:rPr>
                <w:rFonts w:ascii="Times New Roman" w:hAnsi="Times New Roman" w:cs="Times New Roman"/>
                <w:sz w:val="24"/>
                <w:szCs w:val="24"/>
              </w:rPr>
              <w:tab/>
            </w:r>
          </w:p>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Table 4</w:t>
            </w:r>
            <w:r w:rsidR="00470694" w:rsidRPr="008A1814">
              <w:rPr>
                <w:rFonts w:ascii="Times New Roman" w:hAnsi="Times New Roman" w:cs="Times New Roman"/>
                <w:b/>
              </w:rPr>
              <w:t>.</w:t>
            </w:r>
          </w:p>
          <w:p w:rsidR="00470694" w:rsidRPr="008A1814" w:rsidRDefault="00470694" w:rsidP="008A1814">
            <w:pPr>
              <w:pStyle w:val="NoSpacing"/>
              <w:rPr>
                <w:rFonts w:ascii="Times New Roman" w:hAnsi="Times New Roman" w:cs="Times New Roman"/>
                <w:b/>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77"/>
              <w:gridCol w:w="1440"/>
              <w:gridCol w:w="2340"/>
            </w:tblGrid>
            <w:tr w:rsidR="00770538" w:rsidRPr="008A1814" w:rsidTr="00470694">
              <w:tc>
                <w:tcPr>
                  <w:tcW w:w="3258" w:type="dxa"/>
                  <w:shd w:val="clear" w:color="auto" w:fill="auto"/>
                </w:tcPr>
                <w:p w:rsidR="00770538" w:rsidRPr="008A1814" w:rsidRDefault="00770538" w:rsidP="008A1814">
                  <w:pPr>
                    <w:pStyle w:val="NoSpacing"/>
                    <w:rPr>
                      <w:rFonts w:ascii="Times New Roman" w:hAnsi="Times New Roman" w:cs="Times New Roman"/>
                    </w:rPr>
                  </w:pPr>
                </w:p>
              </w:tc>
              <w:tc>
                <w:tcPr>
                  <w:tcW w:w="1777" w:type="dxa"/>
                  <w:shd w:val="clear" w:color="auto" w:fill="auto"/>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2014</w:t>
                  </w:r>
                </w:p>
              </w:tc>
              <w:tc>
                <w:tcPr>
                  <w:tcW w:w="1440" w:type="dxa"/>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2013</w:t>
                  </w:r>
                </w:p>
              </w:tc>
              <w:tc>
                <w:tcPr>
                  <w:tcW w:w="2340" w:type="dxa"/>
                  <w:shd w:val="clear" w:color="auto" w:fill="auto"/>
                </w:tcPr>
                <w:p w:rsidR="00770538" w:rsidRPr="008A1814" w:rsidRDefault="00770538" w:rsidP="008A1814">
                  <w:pPr>
                    <w:pStyle w:val="NoSpacing"/>
                    <w:rPr>
                      <w:rFonts w:ascii="Times New Roman" w:hAnsi="Times New Roman" w:cs="Times New Roman"/>
                      <w:b/>
                    </w:rPr>
                  </w:pPr>
                  <w:r w:rsidRPr="008A1814">
                    <w:rPr>
                      <w:rFonts w:ascii="Times New Roman" w:hAnsi="Times New Roman" w:cs="Times New Roman"/>
                      <w:b/>
                    </w:rPr>
                    <w:t>2012</w:t>
                  </w:r>
                </w:p>
              </w:tc>
            </w:tr>
            <w:tr w:rsidR="00770538" w:rsidRPr="008A1814" w:rsidTr="00470694">
              <w:tc>
                <w:tcPr>
                  <w:tcW w:w="3258" w:type="dxa"/>
                  <w:shd w:val="clear" w:color="auto" w:fill="auto"/>
                </w:tcPr>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Increase Cost Per FTE</w:t>
                  </w:r>
                </w:p>
              </w:tc>
              <w:tc>
                <w:tcPr>
                  <w:tcW w:w="1777" w:type="dxa"/>
                  <w:shd w:val="clear" w:color="auto" w:fill="auto"/>
                </w:tcPr>
                <w:p w:rsidR="00770538" w:rsidRPr="008A1814" w:rsidRDefault="0070017A" w:rsidP="008A1814">
                  <w:pPr>
                    <w:pStyle w:val="NoSpacing"/>
                    <w:rPr>
                      <w:rFonts w:ascii="Times New Roman" w:hAnsi="Times New Roman" w:cs="Times New Roman"/>
                      <w:color w:val="FF0000"/>
                    </w:rPr>
                  </w:pPr>
                  <w:r w:rsidRPr="008A1814">
                    <w:rPr>
                      <w:rFonts w:ascii="Times New Roman" w:hAnsi="Times New Roman" w:cs="Times New Roman"/>
                    </w:rPr>
                    <w:t>0.0</w:t>
                  </w:r>
                  <w:r w:rsidR="00770538" w:rsidRPr="008A1814">
                    <w:rPr>
                      <w:rFonts w:ascii="Times New Roman" w:hAnsi="Times New Roman" w:cs="Times New Roman"/>
                    </w:rPr>
                    <w:t>9%</w:t>
                  </w:r>
                </w:p>
              </w:tc>
              <w:tc>
                <w:tcPr>
                  <w:tcW w:w="1440" w:type="dxa"/>
                </w:tcPr>
                <w:p w:rsidR="00770538" w:rsidRPr="008A1814" w:rsidRDefault="0070017A" w:rsidP="008A1814">
                  <w:pPr>
                    <w:pStyle w:val="NoSpacing"/>
                    <w:rPr>
                      <w:rFonts w:ascii="Times New Roman" w:hAnsi="Times New Roman" w:cs="Times New Roman"/>
                      <w:color w:val="FF0000"/>
                    </w:rPr>
                  </w:pPr>
                  <w:r w:rsidRPr="008A1814">
                    <w:rPr>
                      <w:rFonts w:ascii="Times New Roman" w:hAnsi="Times New Roman" w:cs="Times New Roman"/>
                    </w:rPr>
                    <w:t>-4</w:t>
                  </w:r>
                  <w:r w:rsidR="00770538" w:rsidRPr="008A1814">
                    <w:rPr>
                      <w:rFonts w:ascii="Times New Roman" w:hAnsi="Times New Roman" w:cs="Times New Roman"/>
                    </w:rPr>
                    <w:t>%</w:t>
                  </w:r>
                </w:p>
              </w:tc>
              <w:tc>
                <w:tcPr>
                  <w:tcW w:w="2340" w:type="dxa"/>
                  <w:shd w:val="clear" w:color="auto" w:fill="auto"/>
                </w:tcPr>
                <w:p w:rsidR="00770538" w:rsidRPr="008A1814" w:rsidRDefault="0070017A" w:rsidP="008A1814">
                  <w:pPr>
                    <w:pStyle w:val="NoSpacing"/>
                    <w:rPr>
                      <w:rFonts w:ascii="Times New Roman" w:hAnsi="Times New Roman" w:cs="Times New Roman"/>
                    </w:rPr>
                  </w:pPr>
                  <w:r w:rsidRPr="008A1814">
                    <w:rPr>
                      <w:rFonts w:ascii="Times New Roman" w:hAnsi="Times New Roman" w:cs="Times New Roman"/>
                    </w:rPr>
                    <w:t>4%</w:t>
                  </w:r>
                </w:p>
              </w:tc>
            </w:tr>
            <w:tr w:rsidR="00770538" w:rsidRPr="008A1814" w:rsidTr="00470694">
              <w:tc>
                <w:tcPr>
                  <w:tcW w:w="3258" w:type="dxa"/>
                  <w:shd w:val="clear" w:color="auto" w:fill="auto"/>
                </w:tcPr>
                <w:p w:rsidR="00770538" w:rsidRPr="008A1814" w:rsidRDefault="00770538" w:rsidP="008A1814">
                  <w:pPr>
                    <w:pStyle w:val="NoSpacing"/>
                    <w:rPr>
                      <w:rFonts w:ascii="Times New Roman" w:hAnsi="Times New Roman" w:cs="Times New Roman"/>
                    </w:rPr>
                  </w:pPr>
                  <w:r w:rsidRPr="008A1814">
                    <w:rPr>
                      <w:rFonts w:ascii="Times New Roman" w:hAnsi="Times New Roman" w:cs="Times New Roman"/>
                    </w:rPr>
                    <w:t>% Increase Revenue Per FTE</w:t>
                  </w:r>
                </w:p>
              </w:tc>
              <w:tc>
                <w:tcPr>
                  <w:tcW w:w="1777" w:type="dxa"/>
                  <w:shd w:val="clear" w:color="auto" w:fill="auto"/>
                </w:tcPr>
                <w:p w:rsidR="00770538" w:rsidRPr="008A1814" w:rsidRDefault="0070017A" w:rsidP="008A1814">
                  <w:pPr>
                    <w:pStyle w:val="NoSpacing"/>
                    <w:rPr>
                      <w:rFonts w:ascii="Times New Roman" w:hAnsi="Times New Roman" w:cs="Times New Roman"/>
                    </w:rPr>
                  </w:pPr>
                  <w:r w:rsidRPr="008A1814">
                    <w:rPr>
                      <w:rFonts w:ascii="Times New Roman" w:hAnsi="Times New Roman" w:cs="Times New Roman"/>
                    </w:rPr>
                    <w:t>-</w:t>
                  </w:r>
                  <w:r w:rsidR="00770538" w:rsidRPr="008A1814">
                    <w:rPr>
                      <w:rFonts w:ascii="Times New Roman" w:hAnsi="Times New Roman" w:cs="Times New Roman"/>
                    </w:rPr>
                    <w:t>0.</w:t>
                  </w:r>
                  <w:r w:rsidRPr="008A1814">
                    <w:rPr>
                      <w:rFonts w:ascii="Times New Roman" w:hAnsi="Times New Roman" w:cs="Times New Roman"/>
                    </w:rPr>
                    <w:t>71</w:t>
                  </w:r>
                  <w:r w:rsidR="00770538" w:rsidRPr="008A1814">
                    <w:rPr>
                      <w:rFonts w:ascii="Times New Roman" w:hAnsi="Times New Roman" w:cs="Times New Roman"/>
                    </w:rPr>
                    <w:t>%</w:t>
                  </w:r>
                </w:p>
              </w:tc>
              <w:tc>
                <w:tcPr>
                  <w:tcW w:w="1440" w:type="dxa"/>
                </w:tcPr>
                <w:p w:rsidR="00770538" w:rsidRPr="008A1814" w:rsidRDefault="0070017A" w:rsidP="008A1814">
                  <w:pPr>
                    <w:pStyle w:val="NoSpacing"/>
                    <w:rPr>
                      <w:rFonts w:ascii="Times New Roman" w:hAnsi="Times New Roman" w:cs="Times New Roman"/>
                    </w:rPr>
                  </w:pPr>
                  <w:r w:rsidRPr="008A1814">
                    <w:rPr>
                      <w:rFonts w:ascii="Times New Roman" w:hAnsi="Times New Roman" w:cs="Times New Roman"/>
                    </w:rPr>
                    <w:t>4</w:t>
                  </w:r>
                  <w:r w:rsidR="00770538" w:rsidRPr="008A1814">
                    <w:rPr>
                      <w:rFonts w:ascii="Times New Roman" w:hAnsi="Times New Roman" w:cs="Times New Roman"/>
                    </w:rPr>
                    <w:t>%</w:t>
                  </w:r>
                </w:p>
              </w:tc>
              <w:tc>
                <w:tcPr>
                  <w:tcW w:w="2340" w:type="dxa"/>
                  <w:shd w:val="clear" w:color="auto" w:fill="auto"/>
                </w:tcPr>
                <w:p w:rsidR="00770538" w:rsidRPr="008A1814" w:rsidRDefault="0070017A" w:rsidP="008A1814">
                  <w:pPr>
                    <w:pStyle w:val="NoSpacing"/>
                    <w:rPr>
                      <w:rFonts w:ascii="Times New Roman" w:hAnsi="Times New Roman" w:cs="Times New Roman"/>
                    </w:rPr>
                  </w:pPr>
                  <w:r w:rsidRPr="008A1814">
                    <w:rPr>
                      <w:rFonts w:ascii="Times New Roman" w:hAnsi="Times New Roman" w:cs="Times New Roman"/>
                    </w:rPr>
                    <w:t>7.3%</w:t>
                  </w:r>
                </w:p>
              </w:tc>
            </w:tr>
          </w:tbl>
          <w:p w:rsidR="00470694" w:rsidRPr="008A1814" w:rsidRDefault="00470694" w:rsidP="008A1814">
            <w:pPr>
              <w:pStyle w:val="NoSpacing"/>
              <w:rPr>
                <w:rFonts w:ascii="Times New Roman" w:hAnsi="Times New Roman" w:cs="Times New Roman"/>
                <w:color w:val="000000" w:themeColor="text1"/>
              </w:rPr>
            </w:pPr>
          </w:p>
          <w:p w:rsidR="000637D8" w:rsidRPr="008A1814" w:rsidRDefault="008A5D59" w:rsidP="008A1814">
            <w:pPr>
              <w:pStyle w:val="NoSpacing"/>
              <w:rPr>
                <w:rFonts w:ascii="Times New Roman" w:hAnsi="Times New Roman" w:cs="Times New Roman"/>
              </w:rPr>
            </w:pPr>
            <w:r w:rsidRPr="008A1814">
              <w:rPr>
                <w:rFonts w:ascii="Times New Roman" w:hAnsi="Times New Roman" w:cs="Times New Roman"/>
              </w:rPr>
              <w:t xml:space="preserve">The University works hard to contain cost even though prices and cost of all goods and services are increasing. CSU’s </w:t>
            </w:r>
            <w:r w:rsidR="00770538" w:rsidRPr="008A1814">
              <w:rPr>
                <w:rFonts w:ascii="Times New Roman" w:hAnsi="Times New Roman" w:cs="Times New Roman"/>
              </w:rPr>
              <w:t xml:space="preserve">investments have resulted in expanded student offerings and onsite facilities.  These investments coupled with enrollment management have led to the institution maintaining its enrollment of </w:t>
            </w:r>
            <w:r w:rsidR="00770538" w:rsidRPr="008A1814">
              <w:rPr>
                <w:rFonts w:ascii="Times New Roman" w:hAnsi="Times New Roman" w:cs="Times New Roman"/>
              </w:rPr>
              <w:lastRenderedPageBreak/>
              <w:t xml:space="preserve">over 7,000. </w:t>
            </w:r>
            <w:r w:rsidR="000637D8" w:rsidRPr="008A1814">
              <w:rPr>
                <w:rFonts w:ascii="Times New Roman" w:hAnsi="Times New Roman" w:cs="Times New Roman"/>
              </w:rPr>
              <w:t xml:space="preserve">Over the past several years, CSU constructed a 450 bed residence hall, built a student activity center, a laboratory annex building, acquired and renovated a portion of an 850 bed apartment complex, renovated its bookstore, dining hall, and two  academic buildings. The institution made renovations to </w:t>
            </w:r>
            <w:r w:rsidRPr="008A1814">
              <w:rPr>
                <w:rFonts w:ascii="Times New Roman" w:hAnsi="Times New Roman" w:cs="Times New Roman"/>
              </w:rPr>
              <w:t>additional academic buildings.</w:t>
            </w:r>
          </w:p>
          <w:p w:rsidR="00470694" w:rsidRPr="008A1814" w:rsidRDefault="00470694" w:rsidP="008A1814">
            <w:pPr>
              <w:pStyle w:val="NoSpacing"/>
              <w:rPr>
                <w:rFonts w:ascii="Times New Roman" w:hAnsi="Times New Roman" w:cs="Times New Roman"/>
              </w:rPr>
            </w:pPr>
          </w:p>
          <w:p w:rsidR="00EF65ED" w:rsidRPr="008A1814" w:rsidRDefault="000637D8" w:rsidP="008A1814">
            <w:pPr>
              <w:pStyle w:val="NoSpacing"/>
              <w:rPr>
                <w:rFonts w:ascii="Times New Roman" w:hAnsi="Times New Roman" w:cs="Times New Roman"/>
              </w:rPr>
            </w:pPr>
            <w:r w:rsidRPr="008A1814">
              <w:rPr>
                <w:rFonts w:ascii="Times New Roman" w:hAnsi="Times New Roman" w:cs="Times New Roman"/>
              </w:rPr>
              <w:t xml:space="preserve">The response of students, faculty, staff and other stakeholders to these changes and additions continues to spur growth and excitement on campus, in this time of </w:t>
            </w:r>
            <w:r w:rsidR="001208D2" w:rsidRPr="008A1814">
              <w:rPr>
                <w:rFonts w:ascii="Times New Roman" w:hAnsi="Times New Roman" w:cs="Times New Roman"/>
              </w:rPr>
              <w:t>slow</w:t>
            </w:r>
            <w:r w:rsidRPr="008A1814">
              <w:rPr>
                <w:rFonts w:ascii="Times New Roman" w:hAnsi="Times New Roman" w:cs="Times New Roman"/>
              </w:rPr>
              <w:t xml:space="preserve"> economic recovery.  CSU has invested its funds in the repair, maintenance and renovation of several of its buildings and replaced or upgraded HVAC, roofs, plumbing and utility </w:t>
            </w:r>
            <w:r w:rsidR="001208D2" w:rsidRPr="008A1814">
              <w:rPr>
                <w:rFonts w:ascii="Times New Roman" w:hAnsi="Times New Roman" w:cs="Times New Roman"/>
              </w:rPr>
              <w:t xml:space="preserve">systems. </w:t>
            </w:r>
            <w:r w:rsidR="00470694" w:rsidRPr="008A1814">
              <w:rPr>
                <w:rFonts w:ascii="Times New Roman" w:hAnsi="Times New Roman" w:cs="Times New Roman"/>
              </w:rPr>
              <w:t xml:space="preserve">The University is </w:t>
            </w:r>
            <w:r w:rsidR="001208D2" w:rsidRPr="008A1814">
              <w:rPr>
                <w:rFonts w:ascii="Times New Roman" w:hAnsi="Times New Roman" w:cs="Times New Roman"/>
              </w:rPr>
              <w:t xml:space="preserve">almost </w:t>
            </w:r>
            <w:r w:rsidR="00470694" w:rsidRPr="008A1814">
              <w:rPr>
                <w:rFonts w:ascii="Times New Roman" w:hAnsi="Times New Roman" w:cs="Times New Roman"/>
              </w:rPr>
              <w:t>two-thirds through</w:t>
            </w:r>
            <w:r w:rsidR="001208D2" w:rsidRPr="008A1814">
              <w:rPr>
                <w:rFonts w:ascii="Times New Roman" w:hAnsi="Times New Roman" w:cs="Times New Roman"/>
              </w:rPr>
              <w:t xml:space="preserve"> the </w:t>
            </w:r>
            <w:r w:rsidR="00470694" w:rsidRPr="008A1814">
              <w:rPr>
                <w:rFonts w:ascii="Times New Roman" w:hAnsi="Times New Roman" w:cs="Times New Roman"/>
              </w:rPr>
              <w:t>completion</w:t>
            </w:r>
            <w:r w:rsidR="001208D2" w:rsidRPr="008A1814">
              <w:rPr>
                <w:rFonts w:ascii="Times New Roman" w:hAnsi="Times New Roman" w:cs="Times New Roman"/>
              </w:rPr>
              <w:t xml:space="preserve"> of its 3 year interior library renovation</w:t>
            </w:r>
            <w:r w:rsidR="00470694" w:rsidRPr="008A1814">
              <w:rPr>
                <w:rFonts w:ascii="Times New Roman" w:hAnsi="Times New Roman" w:cs="Times New Roman"/>
              </w:rPr>
              <w:t xml:space="preserve">. The </w:t>
            </w:r>
            <w:r w:rsidR="001208D2" w:rsidRPr="008A1814">
              <w:rPr>
                <w:rFonts w:ascii="Times New Roman" w:hAnsi="Times New Roman" w:cs="Times New Roman"/>
              </w:rPr>
              <w:t>U</w:t>
            </w:r>
            <w:r w:rsidR="00470694" w:rsidRPr="008A1814">
              <w:rPr>
                <w:rFonts w:ascii="Times New Roman" w:hAnsi="Times New Roman" w:cs="Times New Roman"/>
              </w:rPr>
              <w:t>niversity’s library was</w:t>
            </w:r>
            <w:r w:rsidRPr="008A1814">
              <w:rPr>
                <w:rFonts w:ascii="Times New Roman" w:hAnsi="Times New Roman" w:cs="Times New Roman"/>
              </w:rPr>
              <w:t xml:space="preserve"> inadequate and </w:t>
            </w:r>
            <w:r w:rsidR="00470694" w:rsidRPr="008A1814">
              <w:rPr>
                <w:rFonts w:ascii="Times New Roman" w:hAnsi="Times New Roman" w:cs="Times New Roman"/>
              </w:rPr>
              <w:t xml:space="preserve">needed </w:t>
            </w:r>
            <w:r w:rsidR="009A4BBC" w:rsidRPr="008A1814">
              <w:rPr>
                <w:rFonts w:ascii="Times New Roman" w:hAnsi="Times New Roman" w:cs="Times New Roman"/>
              </w:rPr>
              <w:t>to</w:t>
            </w:r>
            <w:r w:rsidRPr="008A1814">
              <w:rPr>
                <w:rFonts w:ascii="Times New Roman" w:hAnsi="Times New Roman" w:cs="Times New Roman"/>
              </w:rPr>
              <w:t xml:space="preserve"> </w:t>
            </w:r>
            <w:r w:rsidR="00470694" w:rsidRPr="008A1814">
              <w:rPr>
                <w:rFonts w:ascii="Times New Roman" w:hAnsi="Times New Roman" w:cs="Times New Roman"/>
              </w:rPr>
              <w:t>major improvements</w:t>
            </w:r>
            <w:r w:rsidRPr="008A1814">
              <w:rPr>
                <w:rFonts w:ascii="Times New Roman" w:hAnsi="Times New Roman" w:cs="Times New Roman"/>
              </w:rPr>
              <w:t xml:space="preserve"> to m</w:t>
            </w:r>
            <w:r w:rsidR="00470694" w:rsidRPr="008A1814">
              <w:rPr>
                <w:rFonts w:ascii="Times New Roman" w:hAnsi="Times New Roman" w:cs="Times New Roman"/>
              </w:rPr>
              <w:t>eet accreditation requirements and to provide our students with an appropriate place to study and learn.</w:t>
            </w:r>
          </w:p>
          <w:p w:rsidR="00EF65ED" w:rsidRPr="008A1814" w:rsidRDefault="00EF65ED" w:rsidP="008A1814">
            <w:pPr>
              <w:pStyle w:val="NoSpacing"/>
              <w:rPr>
                <w:rFonts w:ascii="Times New Roman" w:hAnsi="Times New Roman" w:cs="Times New Roman"/>
                <w:sz w:val="24"/>
                <w:szCs w:val="24"/>
              </w:rPr>
            </w:pPr>
          </w:p>
          <w:p w:rsidR="001208D2" w:rsidRPr="008A1814" w:rsidRDefault="001208D2" w:rsidP="008A1814">
            <w:pPr>
              <w:pStyle w:val="NoSpacing"/>
              <w:rPr>
                <w:rFonts w:ascii="Times New Roman" w:hAnsi="Times New Roman" w:cs="Times New Roman"/>
              </w:rPr>
            </w:pPr>
            <w:r w:rsidRPr="008A1814">
              <w:rPr>
                <w:rFonts w:ascii="Times New Roman" w:hAnsi="Times New Roman" w:cs="Times New Roman"/>
              </w:rPr>
              <w:t>Material Audit Findings</w:t>
            </w:r>
          </w:p>
          <w:p w:rsidR="00EF65ED" w:rsidRPr="008A1814" w:rsidRDefault="00EF65ED" w:rsidP="008A1814">
            <w:pPr>
              <w:pStyle w:val="NoSpacing"/>
              <w:rPr>
                <w:rFonts w:ascii="Times New Roman" w:hAnsi="Times New Roman" w:cs="Times New Roman"/>
              </w:rPr>
            </w:pPr>
          </w:p>
          <w:p w:rsidR="00EB7566" w:rsidRDefault="008A5D59" w:rsidP="008A1814">
            <w:pPr>
              <w:pStyle w:val="NoSpacing"/>
              <w:rPr>
                <w:rFonts w:ascii="Times New Roman" w:hAnsi="Times New Roman" w:cs="Times New Roman"/>
              </w:rPr>
            </w:pPr>
            <w:r w:rsidRPr="008A1814">
              <w:rPr>
                <w:rFonts w:ascii="Times New Roman" w:hAnsi="Times New Roman" w:cs="Times New Roman"/>
              </w:rPr>
              <w:t>Clayton State University is not aware of any major issues and anticipates a solid audit for 2014, and we are awaiting the final report. The DOAA team auditing CSU had one member quit without providing any notice. Consequently there has been a few weeks delay</w:t>
            </w:r>
            <w:r w:rsidR="004A4484">
              <w:rPr>
                <w:rFonts w:ascii="Times New Roman" w:hAnsi="Times New Roman" w:cs="Times New Roman"/>
              </w:rPr>
              <w:t xml:space="preserve"> in the receipt of our F</w:t>
            </w:r>
            <w:r w:rsidR="006B4815">
              <w:rPr>
                <w:rFonts w:ascii="Times New Roman" w:hAnsi="Times New Roman" w:cs="Times New Roman"/>
              </w:rPr>
              <w:t>Y</w:t>
            </w:r>
            <w:r w:rsidR="004A4484">
              <w:rPr>
                <w:rFonts w:ascii="Times New Roman" w:hAnsi="Times New Roman" w:cs="Times New Roman"/>
              </w:rPr>
              <w:t>14 audit.</w:t>
            </w:r>
            <w:r w:rsidRPr="008A1814">
              <w:rPr>
                <w:rFonts w:ascii="Times New Roman" w:hAnsi="Times New Roman" w:cs="Times New Roman"/>
              </w:rPr>
              <w:t xml:space="preserve"> </w:t>
            </w:r>
            <w:r w:rsidR="00EB7566">
              <w:rPr>
                <w:rFonts w:ascii="Times New Roman" w:hAnsi="Times New Roman" w:cs="Times New Roman"/>
              </w:rPr>
              <w:t>This will be updated, if needed.</w:t>
            </w:r>
          </w:p>
          <w:p w:rsidR="00EB7566" w:rsidRDefault="00EB7566" w:rsidP="008A1814">
            <w:pPr>
              <w:pStyle w:val="NoSpacing"/>
              <w:rPr>
                <w:rFonts w:ascii="Times New Roman" w:hAnsi="Times New Roman" w:cs="Times New Roman"/>
              </w:rPr>
            </w:pPr>
          </w:p>
          <w:p w:rsidR="008A5D59" w:rsidRPr="008A1814" w:rsidRDefault="004A4484" w:rsidP="008A1814">
            <w:pPr>
              <w:pStyle w:val="NoSpacing"/>
              <w:rPr>
                <w:rFonts w:ascii="Times New Roman" w:hAnsi="Times New Roman" w:cs="Times New Roman"/>
                <w:color w:val="000000" w:themeColor="text1"/>
              </w:rPr>
            </w:pPr>
            <w:r>
              <w:rPr>
                <w:rFonts w:ascii="Times New Roman" w:hAnsi="Times New Roman" w:cs="Times New Roman"/>
              </w:rPr>
              <w:t xml:space="preserve">We did very well on our recent financial aid audit and have not received any negative audits from external auditors to date. </w:t>
            </w:r>
            <w:r w:rsidR="00425F1B" w:rsidRPr="008A1814">
              <w:rPr>
                <w:rFonts w:ascii="Times New Roman" w:hAnsi="Times New Roman" w:cs="Times New Roman"/>
              </w:rPr>
              <w:t xml:space="preserve">The following material audit findings were </w:t>
            </w:r>
            <w:r w:rsidR="00EB7566">
              <w:rPr>
                <w:rFonts w:ascii="Times New Roman" w:hAnsi="Times New Roman" w:cs="Times New Roman"/>
              </w:rPr>
              <w:t xml:space="preserve">from our internal auditor’s work based on the </w:t>
            </w:r>
            <w:r w:rsidR="00AF5A91">
              <w:rPr>
                <w:rFonts w:ascii="Times New Roman" w:hAnsi="Times New Roman" w:cs="Times New Roman"/>
              </w:rPr>
              <w:t>institution’s</w:t>
            </w:r>
            <w:r w:rsidR="00EB7566">
              <w:rPr>
                <w:rFonts w:ascii="Times New Roman" w:hAnsi="Times New Roman" w:cs="Times New Roman"/>
              </w:rPr>
              <w:t xml:space="preserve"> audit plan. </w:t>
            </w:r>
            <w:r w:rsidR="00AF5A91">
              <w:rPr>
                <w:rFonts w:ascii="Times New Roman" w:hAnsi="Times New Roman" w:cs="Times New Roman"/>
              </w:rPr>
              <w:t xml:space="preserve">These are the material findings </w:t>
            </w:r>
            <w:r w:rsidR="00425F1B" w:rsidRPr="008A1814">
              <w:rPr>
                <w:rFonts w:ascii="Times New Roman" w:hAnsi="Times New Roman" w:cs="Times New Roman"/>
              </w:rPr>
              <w:t xml:space="preserve">reported in the 2014 Campus Life Cash Handling Audit. Campus Life is a department within the Division of Student Affairs. </w:t>
            </w:r>
            <w:r w:rsidR="001208D2" w:rsidRPr="008A1814">
              <w:rPr>
                <w:rFonts w:ascii="Times New Roman" w:hAnsi="Times New Roman" w:cs="Times New Roman"/>
                <w:color w:val="000000" w:themeColor="text1"/>
              </w:rPr>
              <w:t xml:space="preserve">The department revenue is primarily generated by the Student Activities Fee of $60 per student and the Student Activities Center fee of $100 per student.  Additional revenue is collected from campus-wide organization events and rental fees from community use of the SAC facilities. </w:t>
            </w:r>
          </w:p>
          <w:p w:rsidR="008A5D59" w:rsidRPr="008A1814" w:rsidRDefault="008A5D59" w:rsidP="008A1814">
            <w:pPr>
              <w:pStyle w:val="NoSpacing"/>
              <w:rPr>
                <w:rFonts w:ascii="Times New Roman" w:hAnsi="Times New Roman" w:cs="Times New Roman"/>
                <w:color w:val="000000" w:themeColor="text1"/>
              </w:rPr>
            </w:pPr>
          </w:p>
          <w:p w:rsidR="00FD7130" w:rsidRDefault="00EF65ED" w:rsidP="008A1814">
            <w:pPr>
              <w:pStyle w:val="NoSpacing"/>
              <w:rPr>
                <w:rFonts w:ascii="Times New Roman" w:hAnsi="Times New Roman" w:cs="Times New Roman"/>
                <w:u w:val="single"/>
              </w:rPr>
            </w:pPr>
            <w:r w:rsidRPr="008A1814">
              <w:rPr>
                <w:rFonts w:ascii="Times New Roman" w:hAnsi="Times New Roman" w:cs="Times New Roman"/>
                <w:color w:val="000000" w:themeColor="text1"/>
              </w:rPr>
              <w:t xml:space="preserve">The University has made modifications to correct these items. Although the dollar exposure was limited, the University understands that small issues can lead to larger issues. </w:t>
            </w:r>
          </w:p>
          <w:p w:rsidR="00EB7566" w:rsidRPr="008A1814" w:rsidRDefault="00EB7566" w:rsidP="008A1814">
            <w:pPr>
              <w:pStyle w:val="NoSpacing"/>
              <w:rPr>
                <w:rFonts w:ascii="Times New Roman" w:hAnsi="Times New Roman" w:cs="Times New Roman"/>
                <w:b/>
                <w:u w:val="single"/>
              </w:rPr>
            </w:pPr>
          </w:p>
          <w:p w:rsidR="001208D2" w:rsidRPr="008A1814" w:rsidRDefault="001208D2" w:rsidP="008A1814">
            <w:pPr>
              <w:pStyle w:val="NoSpacing"/>
              <w:rPr>
                <w:rFonts w:ascii="Times New Roman" w:hAnsi="Times New Roman" w:cs="Times New Roman"/>
                <w:b/>
              </w:rPr>
            </w:pPr>
            <w:r w:rsidRPr="008A1814">
              <w:rPr>
                <w:rFonts w:ascii="Times New Roman" w:hAnsi="Times New Roman" w:cs="Times New Roman"/>
                <w:b/>
              </w:rPr>
              <w:t>Table 5.</w:t>
            </w:r>
          </w:p>
          <w:p w:rsidR="001208D2" w:rsidRPr="008A1814" w:rsidRDefault="001208D2" w:rsidP="008A1814">
            <w:pPr>
              <w:pStyle w:val="NoSpacing"/>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355"/>
            </w:tblGrid>
            <w:tr w:rsidR="001208D2" w:rsidRPr="008A1814" w:rsidTr="00346FDB">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Audit Exception: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Missing deposit documentation and the following six receipt books were not available at the time of the audit:  1331, 12601, 626801, 626901, 205200, and 640600.</w:t>
                  </w:r>
                </w:p>
                <w:p w:rsidR="001208D2" w:rsidRPr="008A1814" w:rsidRDefault="001208D2" w:rsidP="007C10EE">
                  <w:pPr>
                    <w:pStyle w:val="NoSpacing"/>
                    <w:jc w:val="both"/>
                    <w:rPr>
                      <w:rFonts w:ascii="Times New Roman" w:hAnsi="Times New Roman" w:cs="Times New Roman"/>
                    </w:rPr>
                  </w:pPr>
                </w:p>
              </w:tc>
            </w:tr>
            <w:tr w:rsidR="001208D2" w:rsidRPr="008A1814" w:rsidTr="00346FDB">
              <w:tc>
                <w:tcPr>
                  <w:tcW w:w="9355" w:type="dxa"/>
                </w:tcPr>
                <w:p w:rsidR="001208D2" w:rsidRPr="008A1814" w:rsidRDefault="001208D2" w:rsidP="007C10EE">
                  <w:pPr>
                    <w:pStyle w:val="NoSpacing"/>
                    <w:jc w:val="both"/>
                    <w:rPr>
                      <w:rFonts w:ascii="Times New Roman" w:hAnsi="Times New Roman" w:cs="Times New Roman"/>
                      <w:u w:val="single"/>
                    </w:rPr>
                  </w:pPr>
                  <w:r w:rsidRPr="008A1814">
                    <w:rPr>
                      <w:rFonts w:ascii="Times New Roman" w:hAnsi="Times New Roman" w:cs="Times New Roman"/>
                      <w:b/>
                      <w:u w:val="single"/>
                    </w:rPr>
                    <w:t>Audit Recommendation: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 xml:space="preserve">CSU Institutional Policy states that each unit must have a system to provide documentation of all funds received.  Financial documentation should be retained in accordance with the USG Records Retention Manual for a minimum of 5 years. </w:t>
                  </w:r>
                </w:p>
                <w:p w:rsidR="001208D2" w:rsidRPr="008A1814" w:rsidRDefault="001208D2" w:rsidP="007C10EE">
                  <w:pPr>
                    <w:pStyle w:val="NoSpacing"/>
                    <w:jc w:val="both"/>
                    <w:rPr>
                      <w:rFonts w:ascii="Times New Roman" w:hAnsi="Times New Roman" w:cs="Times New Roman"/>
                    </w:rPr>
                  </w:pPr>
                </w:p>
              </w:tc>
            </w:tr>
            <w:tr w:rsidR="001208D2" w:rsidRPr="008A1814" w:rsidTr="00346FDB">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Management Response:</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 xml:space="preserve">Management was unable to locate receipt books listed above.  Student Affairs Receipt Book policy and procedures has been updated as advised and reviewed by the Internal Auditor. In order to provide an additional layer of oversight and review, university issued receipt books will be signed out via a receipt book log from the Division Business Manager. Receipt books will be signed back in to the Business Manager when they are full or at the end of the fiscal year. This allows Divisional review of all receipt books to identify any potential issues that need to be addressed before they are returned to the Bursar’s office. </w:t>
                  </w:r>
                </w:p>
                <w:p w:rsidR="001208D2" w:rsidRPr="008A1814" w:rsidRDefault="001208D2" w:rsidP="007C10EE">
                  <w:pPr>
                    <w:pStyle w:val="NoSpacing"/>
                    <w:jc w:val="both"/>
                    <w:rPr>
                      <w:rFonts w:ascii="Times New Roman" w:hAnsi="Times New Roman" w:cs="Times New Roman"/>
                    </w:rPr>
                  </w:pPr>
                </w:p>
              </w:tc>
            </w:tr>
          </w:tbl>
          <w:p w:rsidR="001208D2" w:rsidRPr="008A1814" w:rsidRDefault="001208D2" w:rsidP="007C10EE">
            <w:pPr>
              <w:pStyle w:val="NoSpacing"/>
              <w:jc w:val="both"/>
              <w:rPr>
                <w:rFonts w:ascii="Times New Roman" w:hAnsi="Times New Roman" w:cs="Times New Roman"/>
              </w:rPr>
            </w:pPr>
          </w:p>
          <w:p w:rsidR="001208D2" w:rsidRPr="008A1814" w:rsidRDefault="001208D2" w:rsidP="007C10EE">
            <w:pPr>
              <w:pStyle w:val="NoSpacing"/>
              <w:jc w:val="both"/>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355"/>
            </w:tblGrid>
            <w:tr w:rsidR="001208D2" w:rsidRPr="008A1814" w:rsidTr="007C10EE">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Audit Exception: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 xml:space="preserve">A total of $1,255.00 could not be accounted for based off of the financial documentation provided for the annual audit. The lack of financial documentation inhibited the ability to identify the missing funds as mishandled or fraud. </w:t>
                  </w:r>
                </w:p>
                <w:p w:rsidR="001208D2" w:rsidRPr="008A1814" w:rsidRDefault="001208D2" w:rsidP="007C10EE">
                  <w:pPr>
                    <w:pStyle w:val="NoSpacing"/>
                    <w:jc w:val="both"/>
                    <w:rPr>
                      <w:rFonts w:ascii="Times New Roman" w:hAnsi="Times New Roman" w:cs="Times New Roman"/>
                    </w:rPr>
                  </w:pPr>
                </w:p>
              </w:tc>
            </w:tr>
            <w:tr w:rsidR="001208D2" w:rsidRPr="008A1814" w:rsidTr="007C10EE">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Audit Recommendation: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All funds received from other departments of CSU are to be received by the Cashier in the Bursar Office and are credited to the appropriate department’s account.</w:t>
                  </w:r>
                </w:p>
                <w:p w:rsidR="001208D2" w:rsidRPr="008A1814" w:rsidRDefault="001208D2" w:rsidP="007C10EE">
                  <w:pPr>
                    <w:pStyle w:val="NoSpacing"/>
                    <w:jc w:val="both"/>
                    <w:rPr>
                      <w:rFonts w:ascii="Times New Roman" w:hAnsi="Times New Roman" w:cs="Times New Roman"/>
                    </w:rPr>
                  </w:pPr>
                </w:p>
              </w:tc>
            </w:tr>
            <w:tr w:rsidR="001208D2" w:rsidRPr="008A1814" w:rsidTr="007C10EE">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Management Response:</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Receipting procedures have been updated and shared with the department staff, along with university and departmental cash handling policies. The new procedures and oversights being implemented will result in consistent and thorough retention of pertinent documentation, allowing for a clear audit-trail moving forward.</w:t>
                  </w:r>
                </w:p>
                <w:p w:rsidR="001208D2" w:rsidRPr="008A1814" w:rsidRDefault="001208D2" w:rsidP="007C10EE">
                  <w:pPr>
                    <w:pStyle w:val="NoSpacing"/>
                    <w:jc w:val="both"/>
                    <w:rPr>
                      <w:rFonts w:ascii="Times New Roman" w:hAnsi="Times New Roman" w:cs="Times New Roman"/>
                    </w:rPr>
                  </w:pPr>
                </w:p>
              </w:tc>
            </w:tr>
          </w:tbl>
          <w:p w:rsidR="001208D2" w:rsidRPr="008A1814" w:rsidRDefault="001208D2" w:rsidP="007C10EE">
            <w:pPr>
              <w:pStyle w:val="NoSpacing"/>
              <w:jc w:val="both"/>
              <w:rPr>
                <w:rFonts w:ascii="Times New Roman" w:hAnsi="Times New Roman" w:cs="Times New Roman"/>
              </w:rPr>
            </w:pPr>
          </w:p>
          <w:p w:rsidR="001208D2" w:rsidRPr="008A1814" w:rsidRDefault="001208D2" w:rsidP="007C10EE">
            <w:pPr>
              <w:pStyle w:val="NoSpacing"/>
              <w:jc w:val="both"/>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9355"/>
            </w:tblGrid>
            <w:tr w:rsidR="001208D2" w:rsidRPr="008A1814" w:rsidTr="007C10EE">
              <w:tc>
                <w:tcPr>
                  <w:tcW w:w="9355" w:type="dxa"/>
                </w:tcPr>
                <w:p w:rsidR="001208D2" w:rsidRPr="008A1814" w:rsidRDefault="001208D2" w:rsidP="007C10EE">
                  <w:pPr>
                    <w:pStyle w:val="NoSpacing"/>
                    <w:jc w:val="both"/>
                    <w:rPr>
                      <w:rFonts w:ascii="Times New Roman" w:hAnsi="Times New Roman" w:cs="Times New Roman"/>
                      <w:b/>
                    </w:rPr>
                  </w:pPr>
                  <w:r w:rsidRPr="008A1814">
                    <w:rPr>
                      <w:rFonts w:ascii="Times New Roman" w:hAnsi="Times New Roman" w:cs="Times New Roman"/>
                      <w:b/>
                      <w:u w:val="single"/>
                    </w:rPr>
                    <w:t>Audit Exception: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When reconciling deposits, management stated that once a deposit is submitted, it is logged into a spreadsheet. Reconciliations are conducted regularly using the spreadsheet and budget reports to ensure deposited funds are properly credited to the account. This process does not take into account reconciling collected funds from the original cash receipts. A clear audit trail was not established from receipt to reconciliation of funds.</w:t>
                  </w:r>
                </w:p>
                <w:p w:rsidR="001208D2" w:rsidRPr="008A1814" w:rsidRDefault="001208D2" w:rsidP="007C10EE">
                  <w:pPr>
                    <w:pStyle w:val="NoSpacing"/>
                    <w:jc w:val="both"/>
                    <w:rPr>
                      <w:rFonts w:ascii="Times New Roman" w:hAnsi="Times New Roman" w:cs="Times New Roman"/>
                      <w:b/>
                      <w:u w:val="single"/>
                    </w:rPr>
                  </w:pPr>
                </w:p>
              </w:tc>
            </w:tr>
            <w:tr w:rsidR="001208D2" w:rsidRPr="008A1814" w:rsidTr="007C10EE">
              <w:tc>
                <w:tcPr>
                  <w:tcW w:w="9355" w:type="dxa"/>
                </w:tcPr>
                <w:p w:rsidR="001208D2" w:rsidRPr="008A1814" w:rsidRDefault="001208D2" w:rsidP="007C10EE">
                  <w:pPr>
                    <w:pStyle w:val="NoSpacing"/>
                    <w:jc w:val="both"/>
                    <w:rPr>
                      <w:rFonts w:ascii="Times New Roman" w:hAnsi="Times New Roman" w:cs="Times New Roman"/>
                      <w:b/>
                      <w:u w:val="single"/>
                    </w:rPr>
                  </w:pPr>
                  <w:r w:rsidRPr="008A1814">
                    <w:rPr>
                      <w:rFonts w:ascii="Times New Roman" w:hAnsi="Times New Roman" w:cs="Times New Roman"/>
                      <w:b/>
                      <w:u w:val="single"/>
                    </w:rPr>
                    <w:t>Audit Recommendation:</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 xml:space="preserve">Reconciliations to financial systems should be performed regularly as required by internal cash handling policy. To complete the reconciliation process; cash receipts, deposit documentation, and the general ledger must be in agreement. </w:t>
                  </w:r>
                </w:p>
                <w:p w:rsidR="001208D2" w:rsidRPr="008A1814" w:rsidRDefault="001208D2" w:rsidP="007C10EE">
                  <w:pPr>
                    <w:pStyle w:val="NoSpacing"/>
                    <w:jc w:val="both"/>
                    <w:rPr>
                      <w:rFonts w:ascii="Times New Roman" w:hAnsi="Times New Roman" w:cs="Times New Roman"/>
                    </w:rPr>
                  </w:pPr>
                </w:p>
              </w:tc>
            </w:tr>
            <w:tr w:rsidR="001208D2" w:rsidRPr="008A1814" w:rsidTr="007C10EE">
              <w:tc>
                <w:tcPr>
                  <w:tcW w:w="9355" w:type="dxa"/>
                </w:tcPr>
                <w:p w:rsidR="001208D2" w:rsidRPr="008A1814" w:rsidRDefault="001208D2" w:rsidP="007C10EE">
                  <w:pPr>
                    <w:pStyle w:val="NoSpacing"/>
                    <w:jc w:val="both"/>
                    <w:rPr>
                      <w:rFonts w:ascii="Times New Roman" w:hAnsi="Times New Roman" w:cs="Times New Roman"/>
                      <w:color w:val="000000"/>
                    </w:rPr>
                  </w:pPr>
                </w:p>
                <w:p w:rsidR="001208D2" w:rsidRPr="008A1814" w:rsidRDefault="001208D2" w:rsidP="007C10EE">
                  <w:pPr>
                    <w:pStyle w:val="NoSpacing"/>
                    <w:jc w:val="both"/>
                    <w:rPr>
                      <w:rFonts w:ascii="Times New Roman" w:hAnsi="Times New Roman" w:cs="Times New Roman"/>
                      <w:b/>
                      <w:color w:val="000000"/>
                      <w:u w:val="single"/>
                    </w:rPr>
                  </w:pPr>
                  <w:r w:rsidRPr="008A1814">
                    <w:rPr>
                      <w:rFonts w:ascii="Times New Roman" w:hAnsi="Times New Roman" w:cs="Times New Roman"/>
                      <w:b/>
                      <w:color w:val="000000"/>
                      <w:u w:val="single"/>
                    </w:rPr>
                    <w:t>Management Response:</w:t>
                  </w:r>
                </w:p>
                <w:p w:rsidR="001208D2" w:rsidRPr="008A1814" w:rsidRDefault="001208D2" w:rsidP="007C10EE">
                  <w:pPr>
                    <w:pStyle w:val="NoSpacing"/>
                    <w:jc w:val="both"/>
                    <w:rPr>
                      <w:rFonts w:ascii="Times New Roman" w:hAnsi="Times New Roman" w:cs="Times New Roman"/>
                    </w:rPr>
                  </w:pPr>
                  <w:r w:rsidRPr="008A1814">
                    <w:rPr>
                      <w:rFonts w:ascii="Times New Roman" w:hAnsi="Times New Roman" w:cs="Times New Roman"/>
                    </w:rPr>
                    <w:t xml:space="preserve">Management will reconcile deposits thoroughly against receipt books, backup documentation, financial accounting systems, and Bursar’s office receipts. </w:t>
                  </w:r>
                </w:p>
                <w:p w:rsidR="001208D2" w:rsidRPr="008A1814" w:rsidRDefault="001208D2" w:rsidP="007C10EE">
                  <w:pPr>
                    <w:pStyle w:val="NoSpacing"/>
                    <w:jc w:val="both"/>
                    <w:rPr>
                      <w:rFonts w:ascii="Times New Roman" w:hAnsi="Times New Roman" w:cs="Times New Roman"/>
                    </w:rPr>
                  </w:pPr>
                </w:p>
              </w:tc>
            </w:tr>
          </w:tbl>
          <w:p w:rsidR="001208D2" w:rsidRPr="008A1814" w:rsidRDefault="001208D2" w:rsidP="008A1814">
            <w:pPr>
              <w:pStyle w:val="NoSpacing"/>
              <w:rPr>
                <w:rFonts w:ascii="Times New Roman" w:hAnsi="Times New Roman" w:cs="Times New Roman"/>
              </w:rPr>
            </w:pPr>
          </w:p>
        </w:tc>
      </w:tr>
      <w:tr w:rsidR="00470694" w:rsidTr="007C10EE">
        <w:tc>
          <w:tcPr>
            <w:tcW w:w="9558" w:type="dxa"/>
          </w:tcPr>
          <w:p w:rsidR="00470694" w:rsidRDefault="00470694" w:rsidP="00EB6AA1">
            <w:pPr>
              <w:pStyle w:val="Default"/>
              <w:jc w:val="both"/>
              <w:rPr>
                <w:color w:val="auto"/>
              </w:rPr>
            </w:pPr>
          </w:p>
        </w:tc>
      </w:tr>
    </w:tbl>
    <w:p w:rsidR="00C652D0" w:rsidRDefault="00C652D0" w:rsidP="00940A65">
      <w:pPr>
        <w:pStyle w:val="Default"/>
        <w:jc w:val="both"/>
        <w:rPr>
          <w:color w:val="auto"/>
        </w:rPr>
      </w:pPr>
    </w:p>
    <w:p w:rsidR="006051DB" w:rsidRDefault="006051DB"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F35CF3" w:rsidRPr="00A261EA">
        <w:trPr>
          <w:trHeight w:val="323"/>
        </w:trPr>
        <w:tc>
          <w:tcPr>
            <w:tcW w:w="9576" w:type="dxa"/>
          </w:tcPr>
          <w:p w:rsidR="00F35CF3" w:rsidRPr="005877D3" w:rsidRDefault="00F35CF3" w:rsidP="001744C1">
            <w:pPr>
              <w:pStyle w:val="Default"/>
              <w:jc w:val="center"/>
              <w:rPr>
                <w:b/>
                <w:color w:val="auto"/>
                <w:sz w:val="32"/>
                <w:szCs w:val="32"/>
              </w:rPr>
            </w:pPr>
            <w:r w:rsidRPr="005877D3">
              <w:rPr>
                <w:b/>
                <w:color w:val="auto"/>
                <w:sz w:val="32"/>
                <w:szCs w:val="32"/>
              </w:rPr>
              <w:t>Part I</w:t>
            </w:r>
            <w:r w:rsidR="003B5AAC">
              <w:rPr>
                <w:b/>
                <w:color w:val="auto"/>
                <w:sz w:val="32"/>
                <w:szCs w:val="32"/>
              </w:rPr>
              <w:t>I</w:t>
            </w:r>
            <w:r w:rsidRPr="005877D3">
              <w:rPr>
                <w:b/>
                <w:color w:val="auto"/>
                <w:sz w:val="32"/>
                <w:szCs w:val="32"/>
              </w:rPr>
              <w:t xml:space="preserve">I:  </w:t>
            </w:r>
            <w:r w:rsidR="005E7847" w:rsidRPr="005877D3">
              <w:rPr>
                <w:b/>
                <w:color w:val="auto"/>
                <w:sz w:val="32"/>
                <w:szCs w:val="32"/>
              </w:rPr>
              <w:t>Fiscal Year 201</w:t>
            </w:r>
            <w:r w:rsidR="001744C1">
              <w:rPr>
                <w:b/>
                <w:color w:val="auto"/>
                <w:sz w:val="32"/>
                <w:szCs w:val="32"/>
              </w:rPr>
              <w:t>5</w:t>
            </w:r>
            <w:r w:rsidRPr="005877D3">
              <w:rPr>
                <w:b/>
                <w:color w:val="auto"/>
                <w:sz w:val="32"/>
                <w:szCs w:val="32"/>
              </w:rPr>
              <w:t xml:space="preserve"> Update</w:t>
            </w:r>
          </w:p>
        </w:tc>
      </w:tr>
      <w:tr w:rsidR="00F35CF3" w:rsidRPr="00A261EA">
        <w:tc>
          <w:tcPr>
            <w:tcW w:w="9576" w:type="dxa"/>
          </w:tcPr>
          <w:p w:rsidR="00F35CF3" w:rsidRPr="00AC5C61" w:rsidRDefault="00E41811" w:rsidP="006C66F9">
            <w:pPr>
              <w:pStyle w:val="Default"/>
              <w:numPr>
                <w:ilvl w:val="0"/>
                <w:numId w:val="1"/>
              </w:numPr>
              <w:jc w:val="both"/>
              <w:rPr>
                <w:color w:val="auto"/>
              </w:rPr>
            </w:pPr>
            <w:r>
              <w:rPr>
                <w:color w:val="auto"/>
              </w:rPr>
              <w:t xml:space="preserve">How </w:t>
            </w:r>
            <w:r w:rsidR="008C6EF3">
              <w:rPr>
                <w:color w:val="auto"/>
              </w:rPr>
              <w:t>are</w:t>
            </w:r>
            <w:r>
              <w:rPr>
                <w:color w:val="auto"/>
              </w:rPr>
              <w:t xml:space="preserve"> new funds </w:t>
            </w:r>
            <w:r w:rsidR="00AC5C61" w:rsidRPr="00AC5C61">
              <w:rPr>
                <w:rStyle w:val="st1"/>
                <w:color w:val="222222"/>
              </w:rPr>
              <w:t xml:space="preserve">appropriated </w:t>
            </w:r>
            <w:r w:rsidR="005877D3">
              <w:rPr>
                <w:rStyle w:val="st1"/>
                <w:color w:val="222222"/>
              </w:rPr>
              <w:t xml:space="preserve">for </w:t>
            </w:r>
            <w:r>
              <w:rPr>
                <w:rStyle w:val="st1"/>
                <w:color w:val="222222"/>
              </w:rPr>
              <w:t xml:space="preserve">fiscal year </w:t>
            </w:r>
            <w:r w:rsidR="00AC5C61" w:rsidRPr="00AC5C61">
              <w:rPr>
                <w:rStyle w:val="st1"/>
                <w:color w:val="222222"/>
              </w:rPr>
              <w:t>201</w:t>
            </w:r>
            <w:r w:rsidR="006C66F9">
              <w:rPr>
                <w:rStyle w:val="st1"/>
                <w:color w:val="222222"/>
              </w:rPr>
              <w:t>5</w:t>
            </w:r>
            <w:r>
              <w:rPr>
                <w:rStyle w:val="st1"/>
                <w:color w:val="222222"/>
              </w:rPr>
              <w:t xml:space="preserve"> </w:t>
            </w:r>
            <w:r w:rsidR="008C6EF3">
              <w:rPr>
                <w:rStyle w:val="st1"/>
                <w:color w:val="222222"/>
              </w:rPr>
              <w:t>being used</w:t>
            </w:r>
            <w:r>
              <w:rPr>
                <w:rStyle w:val="st1"/>
                <w:color w:val="222222"/>
              </w:rPr>
              <w:t xml:space="preserve"> to address </w:t>
            </w:r>
            <w:r w:rsidR="005877D3">
              <w:rPr>
                <w:rStyle w:val="st1"/>
                <w:color w:val="222222"/>
              </w:rPr>
              <w:t xml:space="preserve">the </w:t>
            </w:r>
            <w:r w:rsidRPr="00E41811">
              <w:rPr>
                <w:rStyle w:val="st1"/>
                <w:b/>
                <w:color w:val="222222"/>
              </w:rPr>
              <w:t>institutional priorities</w:t>
            </w:r>
            <w:r>
              <w:rPr>
                <w:rStyle w:val="st1"/>
                <w:b/>
                <w:color w:val="222222"/>
              </w:rPr>
              <w:t xml:space="preserve"> </w:t>
            </w:r>
            <w:r w:rsidRPr="00861F7C">
              <w:rPr>
                <w:rStyle w:val="st1"/>
                <w:color w:val="222222"/>
                <w:u w:val="single"/>
              </w:rPr>
              <w:t>as</w:t>
            </w:r>
            <w:r w:rsidRPr="00861F7C">
              <w:rPr>
                <w:rStyle w:val="st1"/>
                <w:b/>
                <w:color w:val="222222"/>
                <w:u w:val="single"/>
              </w:rPr>
              <w:t xml:space="preserve"> </w:t>
            </w:r>
            <w:r w:rsidRPr="00861F7C">
              <w:rPr>
                <w:rStyle w:val="st1"/>
                <w:color w:val="222222"/>
                <w:u w:val="single"/>
              </w:rPr>
              <w:t>presented during the last budget hearing</w:t>
            </w:r>
            <w:r>
              <w:rPr>
                <w:rStyle w:val="st1"/>
                <w:color w:val="222222"/>
              </w:rPr>
              <w:t xml:space="preserve">?  Specifically, discuss </w:t>
            </w:r>
            <w:r w:rsidR="00704042">
              <w:rPr>
                <w:rStyle w:val="st1"/>
                <w:color w:val="222222"/>
              </w:rPr>
              <w:t xml:space="preserve">the </w:t>
            </w:r>
            <w:r w:rsidR="008C6EF3">
              <w:rPr>
                <w:rStyle w:val="st1"/>
                <w:color w:val="222222"/>
              </w:rPr>
              <w:t>progress</w:t>
            </w:r>
            <w:r w:rsidR="004A2F29">
              <w:rPr>
                <w:rStyle w:val="st1"/>
                <w:color w:val="222222"/>
              </w:rPr>
              <w:t xml:space="preserve"> to da</w:t>
            </w:r>
            <w:r w:rsidR="00F47D54">
              <w:rPr>
                <w:rStyle w:val="st1"/>
                <w:color w:val="222222"/>
              </w:rPr>
              <w:t>te</w:t>
            </w:r>
            <w:r>
              <w:rPr>
                <w:rStyle w:val="st1"/>
                <w:color w:val="222222"/>
              </w:rPr>
              <w:t xml:space="preserve">, </w:t>
            </w:r>
            <w:r w:rsidR="00704042">
              <w:rPr>
                <w:rStyle w:val="st1"/>
                <w:color w:val="222222"/>
              </w:rPr>
              <w:t>achievements, challenges, etc</w:t>
            </w:r>
            <w:r w:rsidR="00497574">
              <w:rPr>
                <w:rStyle w:val="st1"/>
                <w:color w:val="222222"/>
              </w:rPr>
              <w:t>.</w:t>
            </w:r>
          </w:p>
        </w:tc>
      </w:tr>
      <w:tr w:rsidR="00F35CF3">
        <w:tc>
          <w:tcPr>
            <w:tcW w:w="9576" w:type="dxa"/>
          </w:tcPr>
          <w:p w:rsidR="00B00A27" w:rsidRPr="002634E4" w:rsidRDefault="00B00A27" w:rsidP="00B00A27">
            <w:pPr>
              <w:pStyle w:val="Default"/>
              <w:jc w:val="both"/>
              <w:rPr>
                <w:color w:val="auto"/>
                <w:sz w:val="22"/>
                <w:szCs w:val="22"/>
              </w:rPr>
            </w:pPr>
            <w:r w:rsidRPr="002634E4">
              <w:rPr>
                <w:color w:val="auto"/>
                <w:sz w:val="22"/>
                <w:szCs w:val="22"/>
              </w:rPr>
              <w:t xml:space="preserve">We hired an Academic Advisor and assigned her to the department with the highest faculty advisement load. As a part of our major advising initiative, </w:t>
            </w:r>
            <w:r w:rsidR="007C10EE">
              <w:rPr>
                <w:color w:val="auto"/>
                <w:sz w:val="22"/>
                <w:szCs w:val="22"/>
              </w:rPr>
              <w:t xml:space="preserve">as discussed in question 2, </w:t>
            </w:r>
            <w:r w:rsidRPr="002634E4">
              <w:rPr>
                <w:color w:val="auto"/>
                <w:sz w:val="22"/>
                <w:szCs w:val="22"/>
              </w:rPr>
              <w:t xml:space="preserve">our goal is increase the number of students who are served by full-time professional advisors. </w:t>
            </w:r>
          </w:p>
          <w:p w:rsidR="00B00A27" w:rsidRPr="002634E4" w:rsidRDefault="00B00A27" w:rsidP="00B00A27">
            <w:pPr>
              <w:pStyle w:val="Default"/>
              <w:jc w:val="both"/>
              <w:rPr>
                <w:color w:val="auto"/>
                <w:sz w:val="22"/>
                <w:szCs w:val="22"/>
              </w:rPr>
            </w:pPr>
          </w:p>
          <w:p w:rsidR="00F35CF3" w:rsidRPr="00EB7566" w:rsidRDefault="00B00A27" w:rsidP="007C10EE">
            <w:pPr>
              <w:pStyle w:val="Default"/>
              <w:jc w:val="both"/>
              <w:rPr>
                <w:b/>
                <w:color w:val="auto"/>
                <w:sz w:val="28"/>
                <w:szCs w:val="28"/>
              </w:rPr>
            </w:pPr>
            <w:r w:rsidRPr="002634E4">
              <w:rPr>
                <w:color w:val="auto"/>
                <w:sz w:val="22"/>
                <w:szCs w:val="22"/>
              </w:rPr>
              <w:t xml:space="preserve">Clayton State hired an Assistant Professor of Psychology. The Psychology major is the largest in the </w:t>
            </w:r>
            <w:r w:rsidRPr="002634E4">
              <w:rPr>
                <w:color w:val="auto"/>
                <w:sz w:val="22"/>
                <w:szCs w:val="22"/>
              </w:rPr>
              <w:lastRenderedPageBreak/>
              <w:t xml:space="preserve">College of Arts and Sciences and produces about 1/5 of the college’s graduates. </w:t>
            </w:r>
          </w:p>
        </w:tc>
      </w:tr>
    </w:tbl>
    <w:p w:rsidR="005A10C8" w:rsidRDefault="005A10C8"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7B2B63" w:rsidRPr="00C24200">
        <w:tc>
          <w:tcPr>
            <w:tcW w:w="9576" w:type="dxa"/>
          </w:tcPr>
          <w:p w:rsidR="007B2B63" w:rsidRPr="00C24200" w:rsidRDefault="007B2B63" w:rsidP="00EB6AA1">
            <w:pPr>
              <w:pStyle w:val="Default"/>
              <w:numPr>
                <w:ilvl w:val="0"/>
                <w:numId w:val="1"/>
              </w:numPr>
              <w:jc w:val="both"/>
              <w:rPr>
                <w:color w:val="auto"/>
              </w:rPr>
            </w:pPr>
            <w:r>
              <w:rPr>
                <w:color w:val="auto"/>
              </w:rPr>
              <w:t>How is your institution addressing the impact of enrollment declines, if applicable?  Was this decline considered in your original budget</w:t>
            </w:r>
            <w:r w:rsidRPr="006051DB">
              <w:rPr>
                <w:color w:val="auto"/>
              </w:rPr>
              <w:t>?  What actions</w:t>
            </w:r>
            <w:r>
              <w:rPr>
                <w:color w:val="auto"/>
              </w:rPr>
              <w:t xml:space="preserve"> are being taken to cut costs and streamline operations?</w:t>
            </w:r>
          </w:p>
        </w:tc>
      </w:tr>
      <w:tr w:rsidR="007B2B63">
        <w:tc>
          <w:tcPr>
            <w:tcW w:w="9576" w:type="dxa"/>
          </w:tcPr>
          <w:p w:rsidR="00C653DA" w:rsidRDefault="00C653DA" w:rsidP="00B00A27">
            <w:pPr>
              <w:rPr>
                <w:rFonts w:ascii="Times New Roman" w:hAnsi="Times New Roman" w:cs="Times New Roman"/>
                <w:sz w:val="24"/>
                <w:szCs w:val="24"/>
              </w:rPr>
            </w:pPr>
          </w:p>
          <w:p w:rsidR="00C653DA" w:rsidRPr="007C10EE" w:rsidRDefault="00C653DA" w:rsidP="007C10EE">
            <w:pPr>
              <w:pStyle w:val="NoSpacing"/>
              <w:jc w:val="both"/>
              <w:rPr>
                <w:rFonts w:ascii="Times New Roman" w:hAnsi="Times New Roman" w:cs="Times New Roman"/>
              </w:rPr>
            </w:pPr>
            <w:r w:rsidRPr="007C10EE">
              <w:rPr>
                <w:rFonts w:ascii="Times New Roman" w:hAnsi="Times New Roman" w:cs="Times New Roman"/>
              </w:rPr>
              <w:t>In FY15, when Clayton State University built its budget, we took a conservative approach and built it on a student enrollment of 7,000</w:t>
            </w:r>
            <w:r w:rsidR="00BF30AB" w:rsidRPr="007C10EE">
              <w:rPr>
                <w:rFonts w:ascii="Times New Roman" w:hAnsi="Times New Roman" w:cs="Times New Roman"/>
              </w:rPr>
              <w:t>. A</w:t>
            </w:r>
            <w:r w:rsidRPr="007C10EE">
              <w:rPr>
                <w:rFonts w:ascii="Times New Roman" w:hAnsi="Times New Roman" w:cs="Times New Roman"/>
              </w:rPr>
              <w:t>lthough our</w:t>
            </w:r>
            <w:r w:rsidR="00BF30AB" w:rsidRPr="007C10EE">
              <w:rPr>
                <w:rFonts w:ascii="Times New Roman" w:hAnsi="Times New Roman" w:cs="Times New Roman"/>
              </w:rPr>
              <w:t xml:space="preserve"> projected</w:t>
            </w:r>
            <w:r w:rsidRPr="007C10EE">
              <w:rPr>
                <w:rFonts w:ascii="Times New Roman" w:hAnsi="Times New Roman" w:cs="Times New Roman"/>
              </w:rPr>
              <w:t xml:space="preserve"> enrollment numbers were hig</w:t>
            </w:r>
            <w:r w:rsidR="00BF30AB" w:rsidRPr="007C10EE">
              <w:rPr>
                <w:rFonts w:ascii="Times New Roman" w:hAnsi="Times New Roman" w:cs="Times New Roman"/>
              </w:rPr>
              <w:t>her. We knew that prudence was a better strategy to avoid</w:t>
            </w:r>
            <w:r w:rsidR="00B166C3" w:rsidRPr="007C10EE">
              <w:rPr>
                <w:rFonts w:ascii="Times New Roman" w:hAnsi="Times New Roman" w:cs="Times New Roman"/>
              </w:rPr>
              <w:t xml:space="preserve"> fall or mid-year budget cuts or hiring freezes.</w:t>
            </w:r>
            <w:r w:rsidR="00BF30AB" w:rsidRPr="007C10EE">
              <w:rPr>
                <w:rFonts w:ascii="Times New Roman" w:hAnsi="Times New Roman" w:cs="Times New Roman"/>
              </w:rPr>
              <w:t xml:space="preserve"> The University engaged in a series of</w:t>
            </w:r>
            <w:r w:rsidRPr="007C10EE">
              <w:rPr>
                <w:rFonts w:ascii="Times New Roman" w:hAnsi="Times New Roman" w:cs="Times New Roman"/>
              </w:rPr>
              <w:t xml:space="preserve"> analyses in which we made the decision to reduce our OS&amp;E </w:t>
            </w:r>
            <w:r w:rsidR="00BF30AB" w:rsidRPr="007C10EE">
              <w:rPr>
                <w:rFonts w:ascii="Times New Roman" w:hAnsi="Times New Roman" w:cs="Times New Roman"/>
              </w:rPr>
              <w:t>overall by 3%. The cuts were not across the board.</w:t>
            </w:r>
          </w:p>
          <w:p w:rsidR="00B166C3" w:rsidRPr="007C10EE" w:rsidRDefault="00B166C3" w:rsidP="007C10EE">
            <w:pPr>
              <w:pStyle w:val="NoSpacing"/>
              <w:jc w:val="both"/>
              <w:rPr>
                <w:rFonts w:ascii="Times New Roman" w:hAnsi="Times New Roman" w:cs="Times New Roman"/>
              </w:rPr>
            </w:pPr>
          </w:p>
          <w:p w:rsidR="00B166C3" w:rsidRPr="007C10EE" w:rsidRDefault="00B166C3" w:rsidP="007C10EE">
            <w:pPr>
              <w:pStyle w:val="NoSpacing"/>
              <w:jc w:val="both"/>
              <w:rPr>
                <w:rFonts w:ascii="Times New Roman" w:hAnsi="Times New Roman" w:cs="Times New Roman"/>
              </w:rPr>
            </w:pPr>
            <w:r w:rsidRPr="007C10EE">
              <w:rPr>
                <w:rFonts w:ascii="Times New Roman" w:hAnsi="Times New Roman" w:cs="Times New Roman"/>
              </w:rPr>
              <w:t xml:space="preserve">CSU has created a Summer Work Group to address summer enrollment and revenues decline by analyzing ways to increase enrollment and reduce costs. For example, exploring a flat rate salary for summer faculty, closing campus of Fridays during the summer term and requiring administrators to teach a summer class. </w:t>
            </w:r>
          </w:p>
          <w:p w:rsidR="00B166C3" w:rsidRPr="007C10EE" w:rsidRDefault="00B166C3" w:rsidP="007C10EE">
            <w:pPr>
              <w:pStyle w:val="NoSpacing"/>
              <w:jc w:val="both"/>
              <w:rPr>
                <w:rFonts w:ascii="Times New Roman" w:hAnsi="Times New Roman" w:cs="Times New Roman"/>
              </w:rPr>
            </w:pPr>
          </w:p>
          <w:p w:rsidR="002C159C" w:rsidRPr="007C10EE" w:rsidRDefault="00B166C3" w:rsidP="007C10EE">
            <w:pPr>
              <w:pStyle w:val="NoSpacing"/>
              <w:jc w:val="both"/>
              <w:rPr>
                <w:rFonts w:ascii="Times New Roman" w:hAnsi="Times New Roman" w:cs="Times New Roman"/>
              </w:rPr>
            </w:pPr>
            <w:r w:rsidRPr="007C10EE">
              <w:rPr>
                <w:rFonts w:ascii="Times New Roman" w:hAnsi="Times New Roman" w:cs="Times New Roman"/>
              </w:rPr>
              <w:t xml:space="preserve">We took an aggressive look at our part-time employees to limit any ACA expansion impacts. We continue to improve our energy </w:t>
            </w:r>
            <w:r w:rsidR="002C159C" w:rsidRPr="007C10EE">
              <w:rPr>
                <w:rFonts w:ascii="Times New Roman" w:hAnsi="Times New Roman" w:cs="Times New Roman"/>
              </w:rPr>
              <w:t>efficiency</w:t>
            </w:r>
            <w:r w:rsidRPr="007C10EE">
              <w:rPr>
                <w:rFonts w:ascii="Times New Roman" w:hAnsi="Times New Roman" w:cs="Times New Roman"/>
              </w:rPr>
              <w:t xml:space="preserve"> and reduce utility </w:t>
            </w:r>
            <w:r w:rsidR="00AF5A91" w:rsidRPr="007C10EE">
              <w:rPr>
                <w:rFonts w:ascii="Times New Roman" w:hAnsi="Times New Roman" w:cs="Times New Roman"/>
              </w:rPr>
              <w:t>costs. CSU</w:t>
            </w:r>
            <w:r w:rsidRPr="007C10EE">
              <w:rPr>
                <w:rFonts w:ascii="Times New Roman" w:hAnsi="Times New Roman" w:cs="Times New Roman"/>
              </w:rPr>
              <w:t xml:space="preserve"> is exploring alternative revenue stream such as facilities rental.  </w:t>
            </w:r>
            <w:r w:rsidR="002C159C" w:rsidRPr="007C10EE">
              <w:rPr>
                <w:rFonts w:ascii="Times New Roman" w:hAnsi="Times New Roman" w:cs="Times New Roman"/>
              </w:rPr>
              <w:t>And we are evaluating programs and services and plan to modify those that have consistently failed to generate revenue, are over staffed or are no longer aligned with the mission of the university.</w:t>
            </w:r>
          </w:p>
          <w:p w:rsidR="00C653DA" w:rsidRPr="007C10EE" w:rsidRDefault="00C653DA" w:rsidP="007C10EE">
            <w:pPr>
              <w:pStyle w:val="NoSpacing"/>
              <w:jc w:val="both"/>
              <w:rPr>
                <w:rFonts w:ascii="Times New Roman" w:hAnsi="Times New Roman" w:cs="Times New Roman"/>
              </w:rPr>
            </w:pPr>
          </w:p>
          <w:p w:rsidR="00B02E25" w:rsidRPr="007C10EE" w:rsidRDefault="00C653DA" w:rsidP="007C10EE">
            <w:pPr>
              <w:pStyle w:val="NoSpacing"/>
              <w:jc w:val="both"/>
              <w:rPr>
                <w:rFonts w:ascii="Times New Roman" w:hAnsi="Times New Roman" w:cs="Times New Roman"/>
              </w:rPr>
            </w:pPr>
            <w:r w:rsidRPr="007C10EE">
              <w:rPr>
                <w:rFonts w:ascii="Times New Roman" w:hAnsi="Times New Roman" w:cs="Times New Roman"/>
              </w:rPr>
              <w:t xml:space="preserve">The University also created an IT Council that will strategically look at all information technology purchases so that we can leverage IT purchases across the entire university. This will enable us to negotiate even lower prices on the acquisition of certain software and </w:t>
            </w:r>
            <w:r w:rsidR="00E50D7C" w:rsidRPr="007C10EE">
              <w:rPr>
                <w:rFonts w:ascii="Times New Roman" w:hAnsi="Times New Roman" w:cs="Times New Roman"/>
              </w:rPr>
              <w:t>hardware</w:t>
            </w:r>
            <w:r w:rsidRPr="007C10EE">
              <w:rPr>
                <w:rFonts w:ascii="Times New Roman" w:hAnsi="Times New Roman" w:cs="Times New Roman"/>
              </w:rPr>
              <w:t xml:space="preserve"> as we do strategic bulk purchases. The University will also be consolidating servers so that areas will no longer need to purchase this equipment</w:t>
            </w:r>
            <w:r w:rsidR="00E50D7C" w:rsidRPr="007C10EE">
              <w:rPr>
                <w:rFonts w:ascii="Times New Roman" w:hAnsi="Times New Roman" w:cs="Times New Roman"/>
              </w:rPr>
              <w:t xml:space="preserve"> and support the specialized environment</w:t>
            </w:r>
            <w:r w:rsidRPr="007C10EE">
              <w:rPr>
                <w:rFonts w:ascii="Times New Roman" w:hAnsi="Times New Roman" w:cs="Times New Roman"/>
              </w:rPr>
              <w:t xml:space="preserve">. </w:t>
            </w:r>
          </w:p>
          <w:p w:rsidR="00B02E25" w:rsidRPr="007C10EE" w:rsidRDefault="00B02E25" w:rsidP="007C10EE">
            <w:pPr>
              <w:pStyle w:val="NoSpacing"/>
              <w:jc w:val="both"/>
              <w:rPr>
                <w:rFonts w:ascii="Times New Roman" w:hAnsi="Times New Roman" w:cs="Times New Roman"/>
              </w:rPr>
            </w:pPr>
          </w:p>
          <w:p w:rsidR="00B02E25" w:rsidRPr="007C10EE" w:rsidRDefault="00C653DA" w:rsidP="007C10EE">
            <w:pPr>
              <w:pStyle w:val="NoSpacing"/>
              <w:jc w:val="both"/>
              <w:rPr>
                <w:rFonts w:ascii="Times New Roman" w:hAnsi="Times New Roman" w:cs="Times New Roman"/>
              </w:rPr>
            </w:pPr>
            <w:r w:rsidRPr="007C10EE">
              <w:rPr>
                <w:rFonts w:ascii="Times New Roman" w:hAnsi="Times New Roman" w:cs="Times New Roman"/>
              </w:rPr>
              <w:t xml:space="preserve">We have also decided to implement e-procurement and that will result in a savings as well. </w:t>
            </w:r>
            <w:r w:rsidR="00B02E25" w:rsidRPr="007C10EE">
              <w:rPr>
                <w:rFonts w:ascii="Times New Roman" w:hAnsi="Times New Roman" w:cs="Times New Roman"/>
              </w:rPr>
              <w:t xml:space="preserve">The University’s utilization of E-Procurement to streamline processes, provide timely information and improve coordination and collaboration will lead to operational benefits related to improving the efficiency of the procurement process and thereby reducing the total costs of procurement and staff time required to process procurement transaction. </w:t>
            </w:r>
          </w:p>
          <w:p w:rsidR="00B02E25" w:rsidRPr="007C10EE" w:rsidRDefault="00B02E25" w:rsidP="007C10EE">
            <w:pPr>
              <w:pStyle w:val="NoSpacing"/>
              <w:jc w:val="both"/>
              <w:rPr>
                <w:rFonts w:ascii="Times New Roman" w:hAnsi="Times New Roman" w:cs="Times New Roman"/>
              </w:rPr>
            </w:pPr>
          </w:p>
          <w:p w:rsidR="00C653DA" w:rsidRPr="007C10EE" w:rsidRDefault="00C653DA" w:rsidP="007C10EE">
            <w:pPr>
              <w:pStyle w:val="NoSpacing"/>
              <w:jc w:val="both"/>
              <w:rPr>
                <w:rFonts w:ascii="Times New Roman" w:hAnsi="Times New Roman" w:cs="Times New Roman"/>
              </w:rPr>
            </w:pPr>
            <w:r w:rsidRPr="007C10EE">
              <w:rPr>
                <w:rFonts w:ascii="Times New Roman" w:hAnsi="Times New Roman" w:cs="Times New Roman"/>
              </w:rPr>
              <w:t xml:space="preserve">We are strategically engaged in partnerships for community engagement and are doing collaborations </w:t>
            </w:r>
            <w:r w:rsidR="00960A77" w:rsidRPr="007C10EE">
              <w:rPr>
                <w:rFonts w:ascii="Times New Roman" w:hAnsi="Times New Roman" w:cs="Times New Roman"/>
              </w:rPr>
              <w:t>across the institution.</w:t>
            </w:r>
            <w:r w:rsidR="00BF30AB" w:rsidRPr="007C10EE">
              <w:rPr>
                <w:rFonts w:ascii="Times New Roman" w:hAnsi="Times New Roman" w:cs="Times New Roman"/>
              </w:rPr>
              <w:t xml:space="preserve"> </w:t>
            </w:r>
            <w:r w:rsidR="00960A77" w:rsidRPr="007C10EE">
              <w:rPr>
                <w:rFonts w:ascii="Times New Roman" w:hAnsi="Times New Roman" w:cs="Times New Roman"/>
              </w:rPr>
              <w:t>With regard to the core activities of our mission related to community engagement and career preparation, we are addressing those activities by emphasizing shared responsibilities across Academic Affairs and Student Affairs, and while the efforts may not immediately lead to realized cost savings, they reinforce the core purpose of the institution and develop frameworks or build capacity for systematic collaborations that in the future will provide cost benefits while better serving students.</w:t>
            </w:r>
          </w:p>
          <w:p w:rsidR="007B2B63" w:rsidRDefault="007B2B63" w:rsidP="00EB6AA1">
            <w:pPr>
              <w:pStyle w:val="Default"/>
              <w:jc w:val="both"/>
              <w:rPr>
                <w:color w:val="auto"/>
              </w:rPr>
            </w:pPr>
          </w:p>
        </w:tc>
      </w:tr>
    </w:tbl>
    <w:p w:rsidR="006F5562" w:rsidRDefault="006F5562" w:rsidP="00940A65">
      <w:pPr>
        <w:pStyle w:val="Default"/>
        <w:jc w:val="both"/>
        <w:rPr>
          <w:color w:val="auto"/>
        </w:rPr>
      </w:pPr>
    </w:p>
    <w:p w:rsidR="003C1A1F" w:rsidRDefault="003C1A1F"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9B7B0F" w:rsidRPr="00535476">
        <w:trPr>
          <w:trHeight w:val="323"/>
        </w:trPr>
        <w:tc>
          <w:tcPr>
            <w:tcW w:w="9576" w:type="dxa"/>
          </w:tcPr>
          <w:p w:rsidR="009B7B0F" w:rsidRPr="00535476" w:rsidRDefault="009B7B0F" w:rsidP="006C66F9">
            <w:pPr>
              <w:pStyle w:val="Default"/>
              <w:jc w:val="center"/>
              <w:rPr>
                <w:b/>
                <w:color w:val="auto"/>
                <w:sz w:val="32"/>
                <w:szCs w:val="32"/>
              </w:rPr>
            </w:pPr>
            <w:r w:rsidRPr="00535476">
              <w:rPr>
                <w:b/>
                <w:color w:val="auto"/>
                <w:sz w:val="32"/>
                <w:szCs w:val="32"/>
              </w:rPr>
              <w:t>Part I</w:t>
            </w:r>
            <w:r>
              <w:rPr>
                <w:b/>
                <w:color w:val="auto"/>
                <w:sz w:val="32"/>
                <w:szCs w:val="32"/>
              </w:rPr>
              <w:t>V</w:t>
            </w:r>
            <w:r w:rsidRPr="00535476">
              <w:rPr>
                <w:b/>
                <w:color w:val="auto"/>
                <w:sz w:val="32"/>
                <w:szCs w:val="32"/>
              </w:rPr>
              <w:t>:  Looking Ahead to FY 201</w:t>
            </w:r>
            <w:r w:rsidR="006C66F9">
              <w:rPr>
                <w:b/>
                <w:color w:val="auto"/>
                <w:sz w:val="32"/>
                <w:szCs w:val="32"/>
              </w:rPr>
              <w:t>6</w:t>
            </w:r>
          </w:p>
        </w:tc>
      </w:tr>
      <w:tr w:rsidR="009B7B0F" w:rsidRPr="00E939B8">
        <w:tc>
          <w:tcPr>
            <w:tcW w:w="9576" w:type="dxa"/>
          </w:tcPr>
          <w:p w:rsidR="009B7B0F" w:rsidRPr="00DC7A03" w:rsidRDefault="00DC7A03" w:rsidP="002B27C5">
            <w:pPr>
              <w:pStyle w:val="Default"/>
              <w:numPr>
                <w:ilvl w:val="0"/>
                <w:numId w:val="1"/>
              </w:numPr>
              <w:jc w:val="both"/>
              <w:rPr>
                <w:color w:val="auto"/>
              </w:rPr>
            </w:pPr>
            <w:r>
              <w:t>T</w:t>
            </w:r>
            <w:r w:rsidRPr="00A34042">
              <w:t>he FY 2016 budget request includes a modest increase to state funds of approximately $7.6 million, resulting from a 1.08% drop in credit hours during the 2013-2014</w:t>
            </w:r>
            <w:r>
              <w:t xml:space="preserve"> academic </w:t>
            </w:r>
            <w:r w:rsidRPr="00A34042">
              <w:t>year.  The growth experienced in the upper level, graduate and professional credit hours offset the</w:t>
            </w:r>
            <w:r>
              <w:t xml:space="preserve"> significant</w:t>
            </w:r>
            <w:r w:rsidRPr="00A34042">
              <w:t xml:space="preserve"> decline i</w:t>
            </w:r>
            <w:r>
              <w:t xml:space="preserve">n the lower level credit hours.   </w:t>
            </w:r>
            <w:r w:rsidR="009B7B0F" w:rsidRPr="00DC7A03">
              <w:rPr>
                <w:color w:val="auto"/>
              </w:rPr>
              <w:t>How will you</w:t>
            </w:r>
            <w:r w:rsidR="007B2B63" w:rsidRPr="00DC7A03">
              <w:rPr>
                <w:color w:val="auto"/>
              </w:rPr>
              <w:t>r</w:t>
            </w:r>
            <w:r w:rsidR="009B7B0F" w:rsidRPr="00DC7A03">
              <w:rPr>
                <w:color w:val="auto"/>
              </w:rPr>
              <w:t xml:space="preserve"> institution </w:t>
            </w:r>
            <w:r w:rsidR="009B7B0F" w:rsidRPr="00DC7A03">
              <w:rPr>
                <w:color w:val="auto"/>
              </w:rPr>
              <w:lastRenderedPageBreak/>
              <w:t>address the loss in funding</w:t>
            </w:r>
            <w:r w:rsidR="002D667A" w:rsidRPr="00DC7A03">
              <w:rPr>
                <w:color w:val="auto"/>
              </w:rPr>
              <w:t xml:space="preserve"> </w:t>
            </w:r>
            <w:r w:rsidR="002D667A" w:rsidRPr="00DC7A03">
              <w:rPr>
                <w:color w:val="000000" w:themeColor="text1"/>
              </w:rPr>
              <w:t>over a three-year period</w:t>
            </w:r>
            <w:r w:rsidR="002A47F4" w:rsidRPr="00DC7A03">
              <w:rPr>
                <w:color w:val="000000" w:themeColor="text1"/>
              </w:rPr>
              <w:t xml:space="preserve">, assuming </w:t>
            </w:r>
            <w:r w:rsidR="002A47F4" w:rsidRPr="007F2F0E">
              <w:rPr>
                <w:color w:val="000000" w:themeColor="text1"/>
              </w:rPr>
              <w:t xml:space="preserve">a </w:t>
            </w:r>
            <w:r w:rsidR="002B27C5" w:rsidRPr="00D67B48">
              <w:rPr>
                <w:color w:val="000000" w:themeColor="text1"/>
                <w:u w:val="single"/>
              </w:rPr>
              <w:t>3</w:t>
            </w:r>
            <w:r w:rsidR="002A47F4" w:rsidRPr="00D67B48">
              <w:rPr>
                <w:color w:val="000000" w:themeColor="text1"/>
                <w:u w:val="single"/>
              </w:rPr>
              <w:t>%</w:t>
            </w:r>
            <w:r w:rsidR="002A47F4" w:rsidRPr="007F2F0E">
              <w:rPr>
                <w:color w:val="000000" w:themeColor="text1"/>
              </w:rPr>
              <w:t xml:space="preserve"> reduction</w:t>
            </w:r>
            <w:r w:rsidR="002A47F4" w:rsidRPr="00DC7A03">
              <w:rPr>
                <w:color w:val="000000" w:themeColor="text1"/>
              </w:rPr>
              <w:t xml:space="preserve"> in state funds</w:t>
            </w:r>
            <w:r w:rsidR="009B7B0F" w:rsidRPr="00DC7A03">
              <w:rPr>
                <w:color w:val="000000" w:themeColor="text1"/>
              </w:rPr>
              <w:t xml:space="preserve">? </w:t>
            </w:r>
            <w:r w:rsidR="009B7B0F" w:rsidRPr="00DC7A03">
              <w:rPr>
                <w:color w:val="auto"/>
              </w:rPr>
              <w:t xml:space="preserve"> Be specific.</w:t>
            </w:r>
            <w:r w:rsidR="00BE063D" w:rsidRPr="00DC7A03">
              <w:rPr>
                <w:color w:val="auto"/>
              </w:rPr>
              <w:t xml:space="preserve">  You actions should specify reductions in</w:t>
            </w:r>
            <w:r w:rsidR="002A47F4" w:rsidRPr="00DC7A03">
              <w:rPr>
                <w:color w:val="auto"/>
              </w:rPr>
              <w:t xml:space="preserve"> force (RIF) plans, if needed. </w:t>
            </w:r>
            <w:r w:rsidR="009B7B0F" w:rsidRPr="00DC7A03">
              <w:rPr>
                <w:color w:val="auto"/>
              </w:rPr>
              <w:t xml:space="preserve"> </w:t>
            </w:r>
            <w:r w:rsidR="009B7B0F" w:rsidRPr="00DC7A03">
              <w:rPr>
                <w:b/>
                <w:i/>
                <w:color w:val="auto"/>
              </w:rPr>
              <w:t xml:space="preserve">Please use the attached Excel template to provide a list of actions with the corresponding savings (tab labeled Reduction Actions).  </w:t>
            </w:r>
          </w:p>
        </w:tc>
      </w:tr>
      <w:tr w:rsidR="009B7B0F">
        <w:tc>
          <w:tcPr>
            <w:tcW w:w="9576" w:type="dxa"/>
          </w:tcPr>
          <w:p w:rsidR="00B00A27" w:rsidRDefault="00B00A27" w:rsidP="00962B09">
            <w:pPr>
              <w:rPr>
                <w:rFonts w:ascii="Times New Roman" w:hAnsi="Times New Roman" w:cs="Times New Roman"/>
                <w:color w:val="FF0000"/>
                <w:sz w:val="24"/>
                <w:szCs w:val="24"/>
              </w:rPr>
            </w:pPr>
          </w:p>
          <w:p w:rsidR="002C159C" w:rsidRPr="007C10EE" w:rsidRDefault="002C159C" w:rsidP="002C159C">
            <w:pPr>
              <w:pStyle w:val="Default"/>
              <w:jc w:val="both"/>
              <w:rPr>
                <w:color w:val="auto"/>
                <w:sz w:val="22"/>
                <w:szCs w:val="22"/>
              </w:rPr>
            </w:pPr>
            <w:r w:rsidRPr="007C10EE">
              <w:rPr>
                <w:color w:val="auto"/>
                <w:sz w:val="22"/>
                <w:szCs w:val="22"/>
              </w:rPr>
              <w:t xml:space="preserve">Please see attached Excel template for costs associated with the reduction in state funding. </w:t>
            </w:r>
          </w:p>
          <w:p w:rsidR="002C159C" w:rsidRPr="007C10EE" w:rsidRDefault="002C159C" w:rsidP="002C159C">
            <w:pPr>
              <w:pStyle w:val="Default"/>
              <w:jc w:val="both"/>
              <w:rPr>
                <w:color w:val="auto"/>
                <w:sz w:val="22"/>
                <w:szCs w:val="22"/>
              </w:rPr>
            </w:pP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Delay hiring critical vacant positions</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 xml:space="preserve">Deferred maintenance </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Reductions in OS&amp;E (first) and Travel (second) Budget</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Freeze hiring of temporary employees, consultants and independent contractors</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Reduction in special projects funding</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Classroom upgrades</w:t>
            </w:r>
          </w:p>
          <w:p w:rsidR="002C159C" w:rsidRPr="007C10EE" w:rsidRDefault="002C159C" w:rsidP="002C159C">
            <w:pPr>
              <w:pStyle w:val="ListParagraph"/>
              <w:numPr>
                <w:ilvl w:val="0"/>
                <w:numId w:val="6"/>
              </w:numPr>
              <w:spacing w:after="200" w:line="276" w:lineRule="auto"/>
              <w:rPr>
                <w:rFonts w:ascii="Times New Roman" w:hAnsi="Times New Roman" w:cs="Times New Roman"/>
              </w:rPr>
            </w:pPr>
            <w:r w:rsidRPr="007C10EE">
              <w:rPr>
                <w:rFonts w:ascii="Times New Roman" w:hAnsi="Times New Roman" w:cs="Times New Roman"/>
              </w:rPr>
              <w:t>Reduction in student assistants funding</w:t>
            </w:r>
          </w:p>
          <w:p w:rsidR="002C159C" w:rsidRPr="007C10EE" w:rsidRDefault="002C159C" w:rsidP="002C159C">
            <w:pPr>
              <w:pStyle w:val="ListParagraph"/>
              <w:numPr>
                <w:ilvl w:val="0"/>
                <w:numId w:val="6"/>
              </w:numPr>
              <w:spacing w:after="200" w:line="276" w:lineRule="auto"/>
              <w:jc w:val="both"/>
            </w:pPr>
            <w:r w:rsidRPr="007C10EE">
              <w:rPr>
                <w:rFonts w:ascii="Times New Roman" w:hAnsi="Times New Roman" w:cs="Times New Roman"/>
              </w:rPr>
              <w:t>Elimination of designated vacant position</w:t>
            </w:r>
          </w:p>
          <w:p w:rsidR="00F27784" w:rsidRPr="007C10EE" w:rsidRDefault="002C159C" w:rsidP="00EB6AA1">
            <w:pPr>
              <w:pStyle w:val="ListParagraph"/>
              <w:numPr>
                <w:ilvl w:val="0"/>
                <w:numId w:val="6"/>
              </w:numPr>
              <w:spacing w:after="200" w:line="276" w:lineRule="auto"/>
              <w:jc w:val="both"/>
            </w:pPr>
            <w:r w:rsidRPr="007C10EE">
              <w:rPr>
                <w:rFonts w:ascii="Times New Roman" w:hAnsi="Times New Roman" w:cs="Times New Roman"/>
              </w:rPr>
              <w:t xml:space="preserve">Reduction in funding for academically – related student programs </w:t>
            </w:r>
          </w:p>
          <w:p w:rsidR="00F27784" w:rsidRDefault="00F27784" w:rsidP="00EB6AA1">
            <w:pPr>
              <w:pStyle w:val="Default"/>
              <w:jc w:val="both"/>
              <w:rPr>
                <w:color w:val="auto"/>
              </w:rPr>
            </w:pPr>
          </w:p>
          <w:p w:rsidR="009B7B0F" w:rsidRDefault="009B7B0F" w:rsidP="00EB6AA1">
            <w:pPr>
              <w:pStyle w:val="Default"/>
              <w:jc w:val="both"/>
              <w:rPr>
                <w:color w:val="auto"/>
              </w:rPr>
            </w:pPr>
          </w:p>
        </w:tc>
      </w:tr>
    </w:tbl>
    <w:p w:rsidR="002D3B46" w:rsidRDefault="002D3B46" w:rsidP="0094503D">
      <w:pPr>
        <w:pStyle w:val="Default"/>
        <w:jc w:val="both"/>
        <w:rPr>
          <w:color w:val="auto"/>
        </w:rPr>
      </w:pPr>
    </w:p>
    <w:p w:rsidR="002D3B46" w:rsidRDefault="002D3B46" w:rsidP="0094503D">
      <w:pPr>
        <w:pStyle w:val="Default"/>
        <w:jc w:val="both"/>
        <w:rPr>
          <w:color w:val="auto"/>
        </w:rPr>
      </w:pPr>
    </w:p>
    <w:tbl>
      <w:tblPr>
        <w:tblStyle w:val="TableGrid"/>
        <w:tblW w:w="0" w:type="auto"/>
        <w:tblLook w:val="04A0" w:firstRow="1" w:lastRow="0" w:firstColumn="1" w:lastColumn="0" w:noHBand="0" w:noVBand="1"/>
      </w:tblPr>
      <w:tblGrid>
        <w:gridCol w:w="9576"/>
      </w:tblGrid>
      <w:tr w:rsidR="0094503D" w:rsidRPr="00F6762D">
        <w:tc>
          <w:tcPr>
            <w:tcW w:w="9576" w:type="dxa"/>
          </w:tcPr>
          <w:p w:rsidR="002D498C" w:rsidRDefault="00192CAB" w:rsidP="002D498C">
            <w:pPr>
              <w:pStyle w:val="Default"/>
              <w:numPr>
                <w:ilvl w:val="0"/>
                <w:numId w:val="1"/>
              </w:numPr>
              <w:jc w:val="both"/>
              <w:rPr>
                <w:color w:val="auto"/>
              </w:rPr>
            </w:pPr>
            <w:r w:rsidRPr="002D498C">
              <w:rPr>
                <w:color w:val="auto"/>
              </w:rPr>
              <w:t xml:space="preserve">If your institution receives </w:t>
            </w:r>
            <w:r w:rsidR="0094503D" w:rsidRPr="002D498C">
              <w:rPr>
                <w:color w:val="auto"/>
              </w:rPr>
              <w:t>additional funds in FY 201</w:t>
            </w:r>
            <w:r w:rsidR="002D498C">
              <w:rPr>
                <w:color w:val="auto"/>
              </w:rPr>
              <w:t>6, what are the top three</w:t>
            </w:r>
            <w:r w:rsidR="0094503D" w:rsidRPr="002D498C">
              <w:rPr>
                <w:color w:val="auto"/>
              </w:rPr>
              <w:t xml:space="preserve"> budget priorities for your institution</w:t>
            </w:r>
            <w:r w:rsidR="0094503D" w:rsidRPr="00F6762D">
              <w:rPr>
                <w:color w:val="auto"/>
              </w:rPr>
              <w:t xml:space="preserve">? How will </w:t>
            </w:r>
            <w:r w:rsidR="007B2B63">
              <w:rPr>
                <w:color w:val="auto"/>
              </w:rPr>
              <w:t>new</w:t>
            </w:r>
            <w:r w:rsidR="0094503D" w:rsidRPr="00F6762D">
              <w:rPr>
                <w:color w:val="auto"/>
              </w:rPr>
              <w:t xml:space="preserve"> funds be utilized to best serve students?</w:t>
            </w:r>
            <w:r w:rsidR="0094503D">
              <w:rPr>
                <w:color w:val="auto"/>
              </w:rPr>
              <w:t xml:space="preserve"> </w:t>
            </w:r>
          </w:p>
          <w:p w:rsidR="0094503D" w:rsidRPr="00F6762D" w:rsidRDefault="0094503D" w:rsidP="007202AD">
            <w:pPr>
              <w:pStyle w:val="Default"/>
              <w:ind w:left="360"/>
              <w:jc w:val="both"/>
              <w:rPr>
                <w:color w:val="auto"/>
              </w:rPr>
            </w:pPr>
            <w:r w:rsidRPr="00C73ED0">
              <w:rPr>
                <w:b/>
                <w:i/>
                <w:color w:val="auto"/>
              </w:rPr>
              <w:t>Please use the attached Excel template to provide the estimated cost associated with each priority (tab labeled New Funds).</w:t>
            </w:r>
          </w:p>
        </w:tc>
      </w:tr>
      <w:tr w:rsidR="0094503D">
        <w:tc>
          <w:tcPr>
            <w:tcW w:w="9576" w:type="dxa"/>
          </w:tcPr>
          <w:p w:rsidR="0094503D" w:rsidRDefault="0094503D" w:rsidP="00EB6AA1">
            <w:pPr>
              <w:pStyle w:val="Default"/>
              <w:jc w:val="both"/>
              <w:rPr>
                <w:color w:val="auto"/>
              </w:rPr>
            </w:pPr>
          </w:p>
          <w:p w:rsidR="00606B7C" w:rsidRDefault="008A5D59" w:rsidP="00606B7C">
            <w:pPr>
              <w:jc w:val="both"/>
              <w:rPr>
                <w:color w:val="1F497D"/>
              </w:rPr>
            </w:pPr>
            <w:r w:rsidRPr="008A5D59">
              <w:rPr>
                <w:rFonts w:ascii="Times New Roman" w:hAnsi="Times New Roman" w:cs="Times New Roman"/>
                <w:b/>
              </w:rPr>
              <w:t>Academic Advisors</w:t>
            </w:r>
            <w:r w:rsidR="002C159C">
              <w:rPr>
                <w:rFonts w:ascii="Times New Roman" w:hAnsi="Times New Roman" w:cs="Times New Roman"/>
                <w:b/>
              </w:rPr>
              <w:t xml:space="preserve"> </w:t>
            </w:r>
            <w:r w:rsidR="0064602E">
              <w:rPr>
                <w:rFonts w:ascii="Times New Roman" w:hAnsi="Times New Roman" w:cs="Times New Roman"/>
                <w:b/>
              </w:rPr>
              <w:t>– $160,000.</w:t>
            </w:r>
            <w:r w:rsidRPr="008A5D59">
              <w:rPr>
                <w:rFonts w:ascii="Times New Roman" w:hAnsi="Times New Roman" w:cs="Times New Roman"/>
              </w:rPr>
              <w:t xml:space="preserve"> </w:t>
            </w:r>
            <w:r w:rsidR="00606B7C">
              <w:rPr>
                <w:rFonts w:ascii="Times New Roman" w:hAnsi="Times New Roman" w:cs="Times New Roman"/>
              </w:rPr>
              <w:t xml:space="preserve">As part of our Complete College Georgia effort we are greatly revamping our advising program, including the development of a centralized advisement center patterned after the model successfully employed at Georgia State University. Professional advisors using the Student Success Collaborative software will identify at-risk students and optimize course scheduling to increase retention and decrease time to graduation. The </w:t>
            </w:r>
            <w:r w:rsidR="007C10EE">
              <w:rPr>
                <w:rFonts w:ascii="Times New Roman" w:hAnsi="Times New Roman" w:cs="Times New Roman"/>
              </w:rPr>
              <w:t>three</w:t>
            </w:r>
            <w:r w:rsidR="00606B7C">
              <w:rPr>
                <w:rFonts w:ascii="Times New Roman" w:hAnsi="Times New Roman" w:cs="Times New Roman"/>
              </w:rPr>
              <w:t xml:space="preserve"> advisor lines requested here are a minimum to </w:t>
            </w:r>
            <w:r w:rsidR="007C10EE">
              <w:rPr>
                <w:rFonts w:ascii="Times New Roman" w:hAnsi="Times New Roman" w:cs="Times New Roman"/>
              </w:rPr>
              <w:t>move us toward reaching this</w:t>
            </w:r>
            <w:r w:rsidR="00606B7C">
              <w:rPr>
                <w:rFonts w:ascii="Times New Roman" w:hAnsi="Times New Roman" w:cs="Times New Roman"/>
              </w:rPr>
              <w:t xml:space="preserve"> goal.</w:t>
            </w:r>
          </w:p>
          <w:p w:rsidR="00BD694E" w:rsidRDefault="00BD694E" w:rsidP="00EB6AA1">
            <w:pPr>
              <w:pStyle w:val="Default"/>
              <w:jc w:val="both"/>
              <w:rPr>
                <w:color w:val="auto"/>
              </w:rPr>
            </w:pPr>
          </w:p>
          <w:p w:rsidR="00BD694E" w:rsidRDefault="00BD694E" w:rsidP="00015385">
            <w:pPr>
              <w:jc w:val="both"/>
              <w:rPr>
                <w:rFonts w:ascii="Times New Roman" w:hAnsi="Times New Roman" w:cs="Times New Roman"/>
              </w:rPr>
            </w:pPr>
            <w:r w:rsidRPr="00BD694E">
              <w:rPr>
                <w:rFonts w:ascii="Times New Roman" w:hAnsi="Times New Roman" w:cs="Times New Roman"/>
                <w:b/>
              </w:rPr>
              <w:t>New Storage Area Network (SAN) - $300,</w:t>
            </w:r>
            <w:r w:rsidR="002C159C">
              <w:rPr>
                <w:rFonts w:ascii="Times New Roman" w:hAnsi="Times New Roman" w:cs="Times New Roman"/>
                <w:b/>
              </w:rPr>
              <w:t xml:space="preserve"> </w:t>
            </w:r>
            <w:r w:rsidRPr="00BD694E">
              <w:rPr>
                <w:rFonts w:ascii="Times New Roman" w:hAnsi="Times New Roman" w:cs="Times New Roman"/>
                <w:b/>
              </w:rPr>
              <w:t>000</w:t>
            </w:r>
            <w:r w:rsidR="002C159C">
              <w:rPr>
                <w:rFonts w:ascii="Times New Roman" w:hAnsi="Times New Roman" w:cs="Times New Roman"/>
                <w:b/>
              </w:rPr>
              <w:t xml:space="preserve">. </w:t>
            </w:r>
            <w:r w:rsidR="00015385">
              <w:rPr>
                <w:rFonts w:ascii="Times New Roman" w:hAnsi="Times New Roman" w:cs="Times New Roman"/>
              </w:rPr>
              <w:t xml:space="preserve"> </w:t>
            </w:r>
            <w:r w:rsidRPr="00BD694E">
              <w:rPr>
                <w:rFonts w:ascii="Times New Roman" w:hAnsi="Times New Roman" w:cs="Times New Roman"/>
              </w:rPr>
              <w:t>The Storage Area Network (SAN) provides storage for many of the campus services including Banner.  The existin</w:t>
            </w:r>
            <w:r w:rsidR="00BA6C0F">
              <w:rPr>
                <w:rFonts w:ascii="Times New Roman" w:hAnsi="Times New Roman" w:cs="Times New Roman"/>
              </w:rPr>
              <w:t xml:space="preserve">g SAN infrastructure is aging. </w:t>
            </w:r>
            <w:r w:rsidRPr="00BD694E">
              <w:rPr>
                <w:rFonts w:ascii="Times New Roman" w:hAnsi="Times New Roman" w:cs="Times New Roman"/>
              </w:rPr>
              <w:t xml:space="preserve">Of the 3 primary SANs, one is no longer serviced by the manufacturer and one is no longer sold (and soon to be no longer supported) by the manufacturer.  The proposed new SAN will replace all three and add fiber channel attachment to speed up data access.  This will enhance operations and reliability </w:t>
            </w:r>
            <w:r w:rsidR="00BA6C0F">
              <w:rPr>
                <w:rFonts w:ascii="Times New Roman" w:hAnsi="Times New Roman" w:cs="Times New Roman"/>
              </w:rPr>
              <w:t xml:space="preserve">of the storage infrastructure. </w:t>
            </w:r>
            <w:r w:rsidRPr="00BD694E">
              <w:rPr>
                <w:rFonts w:ascii="Times New Roman" w:hAnsi="Times New Roman" w:cs="Times New Roman"/>
              </w:rPr>
              <w:t>The existing SANs will be redeployed as part of an expanded Disaster Recovery/Business Continuity plan.</w:t>
            </w:r>
          </w:p>
          <w:p w:rsidR="00015385" w:rsidRDefault="00015385" w:rsidP="00BA6C0F">
            <w:pPr>
              <w:rPr>
                <w:rFonts w:ascii="Times New Roman" w:hAnsi="Times New Roman" w:cs="Times New Roman"/>
              </w:rPr>
            </w:pPr>
          </w:p>
          <w:p w:rsidR="00F27784" w:rsidRPr="008A5D59" w:rsidRDefault="00015385" w:rsidP="008A5D59">
            <w:pPr>
              <w:jc w:val="both"/>
              <w:rPr>
                <w:rFonts w:ascii="Times New Roman" w:hAnsi="Times New Roman" w:cs="Times New Roman"/>
              </w:rPr>
            </w:pPr>
            <w:r w:rsidRPr="00015385">
              <w:rPr>
                <w:rFonts w:ascii="Times New Roman" w:hAnsi="Times New Roman" w:cs="Times New Roman"/>
                <w:b/>
              </w:rPr>
              <w:t>Experiential Learning Coordinator</w:t>
            </w:r>
            <w:r w:rsidR="0064602E">
              <w:rPr>
                <w:rFonts w:ascii="Times New Roman" w:hAnsi="Times New Roman" w:cs="Times New Roman"/>
                <w:b/>
              </w:rPr>
              <w:t xml:space="preserve"> – $53, 500. </w:t>
            </w:r>
            <w:r w:rsidRPr="00015385">
              <w:rPr>
                <w:rFonts w:ascii="Times New Roman" w:hAnsi="Times New Roman" w:cs="Times New Roman"/>
              </w:rPr>
              <w:t xml:space="preserve"> During Academic Year 2013-2014, Academic Affairs, Student Affairs, and External Relations collaborated to develop intentional strategies for increasing the number of Clayton State students who participate in experiential learning opportunities, including internships. An assembled task force made recommendations that resulted in development of The EDGE - a University-wide targeted approach to increase student participation in experiential learning opportunities. Through a series of initiatives for each classification level, students are exposed to and </w:t>
            </w:r>
            <w:r w:rsidRPr="00015385">
              <w:rPr>
                <w:rFonts w:ascii="Times New Roman" w:hAnsi="Times New Roman" w:cs="Times New Roman"/>
              </w:rPr>
              <w:lastRenderedPageBreak/>
              <w:t xml:space="preserve">given opportunities to participate in career-development opportunities that lead to their being prepared for participation in internships and other experiential learning options. As Career Services takes the lead in development and implementation of EDGE, they experience a need for an additional staff member who can coordinate experiential learning activities </w:t>
            </w:r>
            <w:r>
              <w:rPr>
                <w:rFonts w:ascii="Times New Roman" w:hAnsi="Times New Roman" w:cs="Times New Roman"/>
              </w:rPr>
              <w:t>such</w:t>
            </w:r>
            <w:r w:rsidRPr="00015385">
              <w:rPr>
                <w:rFonts w:ascii="Times New Roman" w:hAnsi="Times New Roman" w:cs="Times New Roman"/>
              </w:rPr>
              <w:t xml:space="preserve"> as job shadowing, alumni mentoring, and non-academic internships while collaborating with colleagues across campus and engaging organizations throughout the region in providing experiential learning opportunities</w:t>
            </w:r>
            <w:r w:rsidR="008A5D59">
              <w:rPr>
                <w:rFonts w:ascii="Times New Roman" w:hAnsi="Times New Roman" w:cs="Times New Roman"/>
              </w:rPr>
              <w:t>.</w:t>
            </w:r>
          </w:p>
          <w:p w:rsidR="0094503D" w:rsidRDefault="0094503D" w:rsidP="00EB6AA1">
            <w:pPr>
              <w:pStyle w:val="Default"/>
              <w:jc w:val="both"/>
              <w:rPr>
                <w:color w:val="auto"/>
              </w:rPr>
            </w:pPr>
          </w:p>
        </w:tc>
      </w:tr>
    </w:tbl>
    <w:p w:rsidR="00534853" w:rsidRDefault="00534853" w:rsidP="00534853">
      <w:pPr>
        <w:pStyle w:val="Default"/>
        <w:jc w:val="both"/>
        <w:rPr>
          <w:color w:val="auto"/>
        </w:rPr>
      </w:pPr>
    </w:p>
    <w:tbl>
      <w:tblPr>
        <w:tblStyle w:val="TableGrid"/>
        <w:tblW w:w="0" w:type="auto"/>
        <w:tblLook w:val="04A0" w:firstRow="1" w:lastRow="0" w:firstColumn="1" w:lastColumn="0" w:noHBand="0" w:noVBand="1"/>
      </w:tblPr>
      <w:tblGrid>
        <w:gridCol w:w="9576"/>
      </w:tblGrid>
      <w:tr w:rsidR="00534853" w:rsidRPr="00FD18D2">
        <w:tc>
          <w:tcPr>
            <w:tcW w:w="9576" w:type="dxa"/>
          </w:tcPr>
          <w:p w:rsidR="00534853" w:rsidRPr="00FD18D2" w:rsidRDefault="00534853" w:rsidP="00714517">
            <w:pPr>
              <w:pStyle w:val="Default"/>
              <w:numPr>
                <w:ilvl w:val="0"/>
                <w:numId w:val="1"/>
              </w:numPr>
              <w:jc w:val="both"/>
              <w:rPr>
                <w:color w:val="auto"/>
              </w:rPr>
            </w:pPr>
            <w:r w:rsidRPr="00DF4D9F">
              <w:rPr>
                <w:color w:val="auto"/>
              </w:rPr>
              <w:t xml:space="preserve">What are your recommendations with respect to tuition </w:t>
            </w:r>
            <w:r w:rsidR="00714517">
              <w:rPr>
                <w:color w:val="auto"/>
              </w:rPr>
              <w:t>changes</w:t>
            </w:r>
            <w:r w:rsidRPr="00DF4D9F">
              <w:rPr>
                <w:color w:val="auto"/>
              </w:rPr>
              <w:t xml:space="preserve"> for FY 201</w:t>
            </w:r>
            <w:r w:rsidR="002D498C">
              <w:rPr>
                <w:color w:val="auto"/>
              </w:rPr>
              <w:t>6</w:t>
            </w:r>
            <w:r w:rsidRPr="00DF4D9F">
              <w:rPr>
                <w:color w:val="auto"/>
              </w:rPr>
              <w:t>?   What is the rationale behind your recommendation?</w:t>
            </w:r>
          </w:p>
        </w:tc>
      </w:tr>
      <w:tr w:rsidR="00534853">
        <w:tc>
          <w:tcPr>
            <w:tcW w:w="9576" w:type="dxa"/>
          </w:tcPr>
          <w:p w:rsidR="00F27784" w:rsidRPr="00177F3B" w:rsidRDefault="008A5D59" w:rsidP="00177F3B">
            <w:pPr>
              <w:pStyle w:val="NoSpacing"/>
              <w:rPr>
                <w:rFonts w:ascii="Times New Roman" w:hAnsi="Times New Roman" w:cs="Times New Roman"/>
              </w:rPr>
            </w:pPr>
            <w:r w:rsidRPr="00177F3B">
              <w:rPr>
                <w:rFonts w:ascii="Times New Roman" w:hAnsi="Times New Roman" w:cs="Times New Roman"/>
              </w:rPr>
              <w:t xml:space="preserve">CSU would recommend a 2.5% increase. We are trying to maintain affordability while recognizing the realities of increased personnel, insurance, durable goods and services costs. </w:t>
            </w:r>
          </w:p>
          <w:p w:rsidR="00534853" w:rsidRDefault="00534853" w:rsidP="00EB6AA1">
            <w:pPr>
              <w:pStyle w:val="Default"/>
              <w:jc w:val="both"/>
              <w:rPr>
                <w:color w:val="auto"/>
              </w:rPr>
            </w:pPr>
          </w:p>
        </w:tc>
      </w:tr>
    </w:tbl>
    <w:p w:rsidR="007D4F4F" w:rsidRDefault="007D4F4F"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F6762D" w:rsidRPr="00FD18D2">
        <w:tc>
          <w:tcPr>
            <w:tcW w:w="9576" w:type="dxa"/>
          </w:tcPr>
          <w:p w:rsidR="00F6762D" w:rsidRPr="00FD18D2" w:rsidRDefault="007D4F4F" w:rsidP="007D4F4F">
            <w:pPr>
              <w:pStyle w:val="Default"/>
              <w:jc w:val="center"/>
              <w:rPr>
                <w:color w:val="auto"/>
              </w:rPr>
            </w:pPr>
            <w:r w:rsidRPr="00535476">
              <w:rPr>
                <w:b/>
                <w:color w:val="auto"/>
                <w:sz w:val="32"/>
                <w:szCs w:val="32"/>
              </w:rPr>
              <w:t xml:space="preserve">Part </w:t>
            </w:r>
            <w:r>
              <w:rPr>
                <w:b/>
                <w:color w:val="auto"/>
                <w:sz w:val="32"/>
                <w:szCs w:val="32"/>
              </w:rPr>
              <w:t xml:space="preserve">V: </w:t>
            </w:r>
            <w:r w:rsidRPr="00535476">
              <w:rPr>
                <w:b/>
                <w:color w:val="auto"/>
                <w:sz w:val="32"/>
                <w:szCs w:val="32"/>
              </w:rPr>
              <w:t>FY 201</w:t>
            </w:r>
            <w:r>
              <w:rPr>
                <w:b/>
                <w:color w:val="auto"/>
                <w:sz w:val="32"/>
                <w:szCs w:val="32"/>
              </w:rPr>
              <w:t>5 Mandatory Fee Requests</w:t>
            </w:r>
          </w:p>
        </w:tc>
      </w:tr>
      <w:tr w:rsidR="00F6762D">
        <w:tc>
          <w:tcPr>
            <w:tcW w:w="9576" w:type="dxa"/>
          </w:tcPr>
          <w:p w:rsidR="00F6762D" w:rsidRPr="004067D4" w:rsidRDefault="007D4F4F" w:rsidP="0045573A">
            <w:pPr>
              <w:pStyle w:val="Default"/>
              <w:numPr>
                <w:ilvl w:val="0"/>
                <w:numId w:val="1"/>
              </w:numPr>
              <w:jc w:val="both"/>
              <w:rPr>
                <w:color w:val="auto"/>
              </w:rPr>
            </w:pPr>
            <w:r w:rsidRPr="00FD18D2">
              <w:rPr>
                <w:color w:val="auto"/>
              </w:rPr>
              <w:t>Discuss proposed increases to mandatory fees for FY 201</w:t>
            </w:r>
            <w:r w:rsidR="007425AF">
              <w:rPr>
                <w:color w:val="auto"/>
              </w:rPr>
              <w:t>6</w:t>
            </w:r>
            <w:r w:rsidRPr="00FD18D2">
              <w:rPr>
                <w:color w:val="auto"/>
              </w:rPr>
              <w:t xml:space="preserve"> (</w:t>
            </w:r>
            <w:r w:rsidRPr="00FD18D2">
              <w:rPr>
                <w:i/>
                <w:color w:val="auto"/>
              </w:rPr>
              <w:t>if applicable</w:t>
            </w:r>
            <w:r w:rsidRPr="00FD18D2">
              <w:rPr>
                <w:color w:val="auto"/>
              </w:rPr>
              <w:t>)</w:t>
            </w:r>
            <w:r w:rsidR="007425AF">
              <w:rPr>
                <w:color w:val="auto"/>
              </w:rPr>
              <w:t xml:space="preserve">.  Present a </w:t>
            </w:r>
            <w:r w:rsidR="0045573A">
              <w:rPr>
                <w:color w:val="auto"/>
              </w:rPr>
              <w:t xml:space="preserve">sound </w:t>
            </w:r>
            <w:r w:rsidR="007425AF">
              <w:rPr>
                <w:color w:val="auto"/>
              </w:rPr>
              <w:t xml:space="preserve">business case for </w:t>
            </w:r>
            <w:r w:rsidR="0045573A">
              <w:rPr>
                <w:color w:val="auto"/>
              </w:rPr>
              <w:t>any</w:t>
            </w:r>
            <w:r w:rsidR="007425AF">
              <w:rPr>
                <w:color w:val="auto"/>
              </w:rPr>
              <w:t xml:space="preserve"> proposed increase</w:t>
            </w:r>
            <w:r w:rsidR="0045573A">
              <w:rPr>
                <w:color w:val="auto"/>
              </w:rPr>
              <w:t>s</w:t>
            </w:r>
            <w:r w:rsidR="007425AF">
              <w:rPr>
                <w:color w:val="auto"/>
              </w:rPr>
              <w:t xml:space="preserve">?  </w:t>
            </w:r>
            <w:r>
              <w:rPr>
                <w:color w:val="auto"/>
              </w:rPr>
              <w:t>How do increases impact affordability for students?</w:t>
            </w:r>
            <w:r w:rsidR="009A5E9D">
              <w:rPr>
                <w:color w:val="auto"/>
              </w:rPr>
              <w:t xml:space="preserve">  </w:t>
            </w:r>
            <w:r w:rsidR="00CE2D54">
              <w:rPr>
                <w:color w:val="auto"/>
              </w:rPr>
              <w:t>How did you</w:t>
            </w:r>
            <w:r w:rsidR="000B2668">
              <w:rPr>
                <w:color w:val="auto"/>
              </w:rPr>
              <w:t xml:space="preserve"> engage the student body at large concerning th</w:t>
            </w:r>
            <w:r w:rsidR="00CE2D54">
              <w:rPr>
                <w:color w:val="auto"/>
              </w:rPr>
              <w:t>e</w:t>
            </w:r>
            <w:r w:rsidR="000B2668">
              <w:rPr>
                <w:color w:val="auto"/>
              </w:rPr>
              <w:t xml:space="preserve"> fee increase? </w:t>
            </w:r>
          </w:p>
        </w:tc>
      </w:tr>
      <w:tr w:rsidR="007D4F4F">
        <w:tc>
          <w:tcPr>
            <w:tcW w:w="9576" w:type="dxa"/>
          </w:tcPr>
          <w:p w:rsidR="008C4FA3" w:rsidRDefault="00425F1B" w:rsidP="00425F1B">
            <w:pPr>
              <w:pStyle w:val="NoSpacing"/>
              <w:jc w:val="both"/>
              <w:rPr>
                <w:rFonts w:ascii="Times New Roman" w:hAnsi="Times New Roman" w:cs="Times New Roman"/>
              </w:rPr>
            </w:pPr>
            <w:r w:rsidRPr="00425F1B">
              <w:rPr>
                <w:rFonts w:ascii="Times New Roman" w:hAnsi="Times New Roman" w:cs="Times New Roman"/>
              </w:rPr>
              <w:t xml:space="preserve">The University is not seeking an increase in mandatory fees at the time of this submission. However, it has needs in the International and Athletic areas. The University is engaged in on campus conversations with stakeholders. </w:t>
            </w:r>
          </w:p>
          <w:p w:rsidR="00425F1B" w:rsidRPr="00425F1B" w:rsidRDefault="00425F1B" w:rsidP="00425F1B">
            <w:pPr>
              <w:pStyle w:val="NoSpacing"/>
              <w:jc w:val="both"/>
              <w:rPr>
                <w:rFonts w:ascii="Times New Roman" w:hAnsi="Times New Roman" w:cs="Times New Roman"/>
              </w:rPr>
            </w:pPr>
          </w:p>
          <w:p w:rsidR="00425F1B" w:rsidRDefault="00606B7C" w:rsidP="00B00A27">
            <w:pPr>
              <w:pStyle w:val="NoSpacing"/>
              <w:jc w:val="both"/>
              <w:rPr>
                <w:rFonts w:ascii="Times New Roman" w:hAnsi="Times New Roman" w:cs="Times New Roman"/>
              </w:rPr>
            </w:pPr>
            <w:r>
              <w:rPr>
                <w:rFonts w:ascii="Times New Roman" w:hAnsi="Times New Roman" w:cs="Times New Roman"/>
              </w:rPr>
              <w:t xml:space="preserve">Clayton State University has </w:t>
            </w:r>
            <w:r w:rsidR="006B4815">
              <w:rPr>
                <w:rFonts w:ascii="Times New Roman" w:hAnsi="Times New Roman" w:cs="Times New Roman"/>
              </w:rPr>
              <w:t>approximately 62%</w:t>
            </w:r>
            <w:r>
              <w:rPr>
                <w:rFonts w:ascii="Times New Roman" w:hAnsi="Times New Roman" w:cs="Times New Roman"/>
              </w:rPr>
              <w:t xml:space="preserve"> of its students </w:t>
            </w:r>
            <w:r w:rsidR="00760464">
              <w:rPr>
                <w:rFonts w:ascii="Times New Roman" w:hAnsi="Times New Roman" w:cs="Times New Roman"/>
              </w:rPr>
              <w:t>eligible for</w:t>
            </w:r>
            <w:r>
              <w:rPr>
                <w:rFonts w:ascii="Times New Roman" w:hAnsi="Times New Roman" w:cs="Times New Roman"/>
              </w:rPr>
              <w:t xml:space="preserve"> Pell</w:t>
            </w:r>
            <w:r w:rsidR="008C4FA3" w:rsidRPr="00425F1B">
              <w:rPr>
                <w:rFonts w:ascii="Times New Roman" w:hAnsi="Times New Roman" w:cs="Times New Roman"/>
              </w:rPr>
              <w:t>. Consequently, the University is always concerned about affordability. Being able to retain our students is key for those students to ultimately graduate with a degree from the University and become productive citizens and taxpayers. The University strives to stretch any scholarship dollars that ha</w:t>
            </w:r>
            <w:r w:rsidR="00425F1B">
              <w:rPr>
                <w:rFonts w:ascii="Times New Roman" w:hAnsi="Times New Roman" w:cs="Times New Roman"/>
              </w:rPr>
              <w:t>ve</w:t>
            </w:r>
            <w:r w:rsidR="008C4FA3" w:rsidRPr="00425F1B">
              <w:rPr>
                <w:rFonts w:ascii="Times New Roman" w:hAnsi="Times New Roman" w:cs="Times New Roman"/>
              </w:rPr>
              <w:t xml:space="preserve"> been given to the University. The institution has streamlined its Bateman Loan process</w:t>
            </w:r>
            <w:r w:rsidR="009A6171">
              <w:rPr>
                <w:rFonts w:ascii="Times New Roman" w:hAnsi="Times New Roman" w:cs="Times New Roman"/>
              </w:rPr>
              <w:t xml:space="preserve"> so that more students’ requests for emergency loans can be processed and awarded</w:t>
            </w:r>
            <w:r w:rsidR="00BF40CC">
              <w:rPr>
                <w:rFonts w:ascii="Times New Roman" w:hAnsi="Times New Roman" w:cs="Times New Roman"/>
              </w:rPr>
              <w:t xml:space="preserve">. </w:t>
            </w:r>
            <w:r w:rsidR="006B4815">
              <w:rPr>
                <w:rFonts w:ascii="Times New Roman" w:hAnsi="Times New Roman" w:cs="Times New Roman"/>
              </w:rPr>
              <w:t xml:space="preserve">Bateman Loans are internal emergency loans of $1,500 or less for students. In addition, </w:t>
            </w:r>
            <w:r w:rsidR="00BF40CC">
              <w:rPr>
                <w:rFonts w:ascii="Times New Roman" w:hAnsi="Times New Roman" w:cs="Times New Roman"/>
              </w:rPr>
              <w:t xml:space="preserve">CSU </w:t>
            </w:r>
            <w:r w:rsidR="008C4FA3" w:rsidRPr="00425F1B">
              <w:rPr>
                <w:rFonts w:ascii="Times New Roman" w:hAnsi="Times New Roman" w:cs="Times New Roman"/>
              </w:rPr>
              <w:t xml:space="preserve">has adopted an automatic </w:t>
            </w:r>
            <w:r w:rsidR="00425F1B">
              <w:rPr>
                <w:rFonts w:ascii="Times New Roman" w:hAnsi="Times New Roman" w:cs="Times New Roman"/>
              </w:rPr>
              <w:t>“</w:t>
            </w:r>
            <w:r w:rsidR="008C4FA3" w:rsidRPr="00425F1B">
              <w:rPr>
                <w:rFonts w:ascii="Times New Roman" w:hAnsi="Times New Roman" w:cs="Times New Roman"/>
              </w:rPr>
              <w:t>find a scholarship tool</w:t>
            </w:r>
            <w:r w:rsidR="00425F1B">
              <w:rPr>
                <w:rFonts w:ascii="Times New Roman" w:hAnsi="Times New Roman" w:cs="Times New Roman"/>
              </w:rPr>
              <w:t>”</w:t>
            </w:r>
            <w:r w:rsidR="008C4FA3" w:rsidRPr="00425F1B">
              <w:rPr>
                <w:rFonts w:ascii="Times New Roman" w:hAnsi="Times New Roman" w:cs="Times New Roman"/>
              </w:rPr>
              <w:t xml:space="preserve"> so that students don’t have to apply for all scholarships. The tool actually searches the student’s Banner information and will pinpoint which students may be eligible for certain scholarships and programs. </w:t>
            </w:r>
          </w:p>
          <w:p w:rsidR="00B00A27" w:rsidRPr="00425F1B" w:rsidRDefault="00B00A27" w:rsidP="00B00A27">
            <w:pPr>
              <w:pStyle w:val="NoSpacing"/>
              <w:jc w:val="both"/>
              <w:rPr>
                <w:rFonts w:ascii="Times New Roman" w:hAnsi="Times New Roman" w:cs="Times New Roman"/>
              </w:rPr>
            </w:pPr>
          </w:p>
          <w:p w:rsidR="008C4FA3" w:rsidRPr="00425F1B" w:rsidRDefault="008C4FA3" w:rsidP="00425F1B">
            <w:pPr>
              <w:pStyle w:val="NoSpacing"/>
              <w:jc w:val="both"/>
              <w:rPr>
                <w:rFonts w:ascii="Times New Roman" w:hAnsi="Times New Roman" w:cs="Times New Roman"/>
              </w:rPr>
            </w:pPr>
            <w:r w:rsidRPr="00425F1B">
              <w:rPr>
                <w:rFonts w:ascii="Times New Roman" w:hAnsi="Times New Roman" w:cs="Times New Roman"/>
              </w:rPr>
              <w:t xml:space="preserve">Several years ago, the institution empaneled a fee committee to look at how mandatory fees can either be waived or pro-rated for certain classes and categories of students. Consequently, the University waives all mandatory fees for dual-enrolled students who generally do not avail themselves of any university services and the University has partial waivers for institutional students that take a limited number of credit hours. </w:t>
            </w:r>
          </w:p>
          <w:p w:rsidR="00425F1B" w:rsidRPr="00425F1B" w:rsidRDefault="00425F1B" w:rsidP="00425F1B">
            <w:pPr>
              <w:pStyle w:val="NoSpacing"/>
              <w:jc w:val="both"/>
              <w:rPr>
                <w:rFonts w:ascii="Times New Roman" w:hAnsi="Times New Roman" w:cs="Times New Roman"/>
              </w:rPr>
            </w:pPr>
          </w:p>
          <w:p w:rsidR="008C4FA3" w:rsidRPr="00425F1B" w:rsidRDefault="008C4FA3" w:rsidP="00425F1B">
            <w:pPr>
              <w:pStyle w:val="NoSpacing"/>
              <w:jc w:val="both"/>
              <w:rPr>
                <w:rFonts w:ascii="Times New Roman" w:hAnsi="Times New Roman" w:cs="Times New Roman"/>
              </w:rPr>
            </w:pPr>
            <w:r w:rsidRPr="00425F1B">
              <w:rPr>
                <w:rFonts w:ascii="Times New Roman" w:hAnsi="Times New Roman" w:cs="Times New Roman"/>
              </w:rPr>
              <w:t xml:space="preserve">The University has been sensitive to the need of parents that have incoming full-time freshman who live very close to campus and has created an exception to the mandatory freshman live on campus requirement for students that live in certain designated zip codes close to the institution.  </w:t>
            </w:r>
          </w:p>
          <w:p w:rsidR="00DF419D" w:rsidRDefault="00DF419D" w:rsidP="00EB6AA1">
            <w:pPr>
              <w:pStyle w:val="Default"/>
              <w:jc w:val="both"/>
              <w:rPr>
                <w:color w:val="auto"/>
              </w:rPr>
            </w:pPr>
          </w:p>
          <w:p w:rsidR="00DF419D" w:rsidRDefault="00DF419D" w:rsidP="00EB6AA1">
            <w:pPr>
              <w:pStyle w:val="Default"/>
              <w:jc w:val="both"/>
              <w:rPr>
                <w:color w:val="auto"/>
              </w:rPr>
            </w:pPr>
          </w:p>
        </w:tc>
      </w:tr>
    </w:tbl>
    <w:p w:rsidR="00F6762D" w:rsidRDefault="00F6762D"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1744C1" w:rsidRPr="00A261EA">
        <w:tc>
          <w:tcPr>
            <w:tcW w:w="9576" w:type="dxa"/>
          </w:tcPr>
          <w:p w:rsidR="001744C1" w:rsidRPr="00A261EA" w:rsidRDefault="001744C1" w:rsidP="00EB6AA1">
            <w:pPr>
              <w:pStyle w:val="Default"/>
              <w:numPr>
                <w:ilvl w:val="0"/>
                <w:numId w:val="1"/>
              </w:numPr>
              <w:jc w:val="both"/>
              <w:rPr>
                <w:color w:val="auto"/>
              </w:rPr>
            </w:pPr>
            <w:r>
              <w:rPr>
                <w:color w:val="auto"/>
              </w:rPr>
              <w:t xml:space="preserve">Provide an update on the status of Public Private Ventures (PPVs) at your institution.  Have the underlying assumptions been achieved (i.e. enrollment, occupancy, etc.)  If not, discuss how shortfalls will be addressed.   Provide available reserve balances for each PPV.    </w:t>
            </w:r>
          </w:p>
        </w:tc>
      </w:tr>
      <w:tr w:rsidR="001744C1">
        <w:tc>
          <w:tcPr>
            <w:tcW w:w="9576" w:type="dxa"/>
          </w:tcPr>
          <w:p w:rsidR="00B00A27" w:rsidRPr="00D009A0" w:rsidRDefault="00B00A27" w:rsidP="00B00A27">
            <w:pPr>
              <w:pStyle w:val="Default"/>
              <w:jc w:val="both"/>
              <w:rPr>
                <w:color w:val="0070C0"/>
                <w:sz w:val="22"/>
                <w:szCs w:val="22"/>
              </w:rPr>
            </w:pPr>
            <w:r w:rsidRPr="000B3150">
              <w:rPr>
                <w:color w:val="auto"/>
                <w:sz w:val="22"/>
                <w:szCs w:val="22"/>
              </w:rPr>
              <w:t xml:space="preserve">Clayton State has continued to work to effectively contain costs, ensure a safe and vibrant living/learning </w:t>
            </w:r>
            <w:r w:rsidRPr="000B3150">
              <w:rPr>
                <w:color w:val="auto"/>
                <w:sz w:val="22"/>
                <w:szCs w:val="22"/>
              </w:rPr>
              <w:lastRenderedPageBreak/>
              <w:t>community, and provide timely and efficient customer service to address our housing residents’ needs. We have implemented practices to ensure we meet the governing and accountability requirements associated with managing tax exempt facilities and have worked as a team to consistently update the items required on the PPV checklist developed by the University. In addition, we maintain communication with our LLC I and LLC II partners and keep them informed regardin</w:t>
            </w:r>
            <w:r>
              <w:rPr>
                <w:color w:val="auto"/>
                <w:sz w:val="22"/>
                <w:szCs w:val="22"/>
              </w:rPr>
              <w:t xml:space="preserve">g budgetary and facility issues, meeting face-to-face with them two times per year (June and December). We also continue to work with LLC I to address the concerns related to the flooring irregularities that were brought to light during the Facilities Condition Assessment in August, 2012. </w:t>
            </w:r>
          </w:p>
          <w:p w:rsidR="00B00A27" w:rsidRPr="000B3150" w:rsidRDefault="00B00A27" w:rsidP="00B00A27">
            <w:pPr>
              <w:pStyle w:val="Default"/>
              <w:jc w:val="both"/>
              <w:rPr>
                <w:color w:val="auto"/>
                <w:sz w:val="22"/>
                <w:szCs w:val="22"/>
              </w:rPr>
            </w:pPr>
          </w:p>
          <w:p w:rsidR="00B75319" w:rsidRDefault="00B75319" w:rsidP="00B75319">
            <w:pPr>
              <w:pStyle w:val="Default"/>
              <w:jc w:val="both"/>
              <w:rPr>
                <w:color w:val="auto"/>
                <w:sz w:val="22"/>
                <w:szCs w:val="22"/>
              </w:rPr>
            </w:pPr>
            <w:r>
              <w:rPr>
                <w:color w:val="auto"/>
                <w:sz w:val="22"/>
                <w:szCs w:val="22"/>
              </w:rPr>
              <w:t>The University has increased its enrollment as envisioned by its proformas and overall occupancy numbers across both residential facilities have remained steady. Clayton Station required a 65% occupancy for FY 2014; the actual occupancy level for both Fall and Spring semesters was 70%. Current fiscal year 2015 requires an occupancy level of 70% for Clayton Station and for Fall, 2014 we have achieved an occupancy of 75%. However, there are 3 buildings at Clayton Station still offline due to needed renovations. Taking the rooms that are offline into account, Clayton Station is near 100% occupancy for available space. There are plans to bring at least one more building online for Fall, 2015 as finances allow, adding another 50 rooms available for occupancy.</w:t>
            </w:r>
            <w:r>
              <w:rPr>
                <w:color w:val="0070C0"/>
                <w:sz w:val="22"/>
                <w:szCs w:val="22"/>
              </w:rPr>
              <w:t xml:space="preserve"> </w:t>
            </w:r>
            <w:r>
              <w:rPr>
                <w:color w:val="auto"/>
                <w:sz w:val="22"/>
                <w:szCs w:val="22"/>
              </w:rPr>
              <w:t xml:space="preserve">Laker Hall has a required occupancy of 90% and ended fiscal year 2014 with an 85% occupancy level. For Fall Semester, 2014, the occupancy level for Laker Hall is at 78%. </w:t>
            </w:r>
          </w:p>
          <w:p w:rsidR="00B00A27" w:rsidRPr="000B3150" w:rsidRDefault="00B00A27" w:rsidP="00B00A27">
            <w:pPr>
              <w:pStyle w:val="Default"/>
              <w:jc w:val="both"/>
              <w:rPr>
                <w:color w:val="auto"/>
                <w:sz w:val="22"/>
                <w:szCs w:val="22"/>
              </w:rPr>
            </w:pPr>
          </w:p>
          <w:p w:rsidR="00B00A27" w:rsidRPr="00325C09" w:rsidRDefault="00B00A27" w:rsidP="00B00A27">
            <w:pPr>
              <w:pStyle w:val="Default"/>
              <w:jc w:val="both"/>
              <w:rPr>
                <w:color w:val="0070C0"/>
                <w:sz w:val="22"/>
                <w:szCs w:val="22"/>
              </w:rPr>
            </w:pPr>
            <w:r w:rsidRPr="000B3150">
              <w:rPr>
                <w:color w:val="auto"/>
                <w:sz w:val="22"/>
                <w:szCs w:val="22"/>
              </w:rPr>
              <w:t>The Housing &amp; Residence Life Department remains committed to containing costs and operating the facilities in an efficient manner. For example, the department was able to bring the management</w:t>
            </w:r>
            <w:r>
              <w:rPr>
                <w:color w:val="auto"/>
                <w:sz w:val="22"/>
                <w:szCs w:val="22"/>
              </w:rPr>
              <w:t xml:space="preserve"> of the residence hall in-</w:t>
            </w:r>
            <w:r w:rsidRPr="000B3150">
              <w:rPr>
                <w:color w:val="auto"/>
                <w:sz w:val="22"/>
                <w:szCs w:val="22"/>
              </w:rPr>
              <w:t>house and realize</w:t>
            </w:r>
            <w:r>
              <w:rPr>
                <w:color w:val="auto"/>
                <w:sz w:val="22"/>
                <w:szCs w:val="22"/>
              </w:rPr>
              <w:t>d</w:t>
            </w:r>
            <w:r w:rsidRPr="000B3150">
              <w:rPr>
                <w:color w:val="auto"/>
                <w:sz w:val="22"/>
                <w:szCs w:val="22"/>
              </w:rPr>
              <w:t xml:space="preserve"> cost savings </w:t>
            </w:r>
            <w:r>
              <w:rPr>
                <w:color w:val="auto"/>
                <w:sz w:val="22"/>
                <w:szCs w:val="22"/>
              </w:rPr>
              <w:t xml:space="preserve">of close to 100k </w:t>
            </w:r>
            <w:r w:rsidRPr="000B3150">
              <w:rPr>
                <w:color w:val="auto"/>
                <w:sz w:val="22"/>
                <w:szCs w:val="22"/>
              </w:rPr>
              <w:t>a few years ago.</w:t>
            </w:r>
            <w:r>
              <w:rPr>
                <w:color w:val="auto"/>
                <w:sz w:val="22"/>
                <w:szCs w:val="22"/>
              </w:rPr>
              <w:t xml:space="preserve"> In addition, the maintenance, custodial, and residence life supervision staff are shared across both facilities. Finally, both facilities have been used intentionally for summer programming and conference or camp opportunities to support both the educational/academic programs on campus and to supplement the revenue and support the proforma. Last year’s summer revenue for camps or conferences across both properties was $30,000. </w:t>
            </w:r>
          </w:p>
          <w:p w:rsidR="00B00A27" w:rsidRPr="000B3150" w:rsidRDefault="00B00A27" w:rsidP="00B00A27">
            <w:pPr>
              <w:pStyle w:val="Default"/>
              <w:jc w:val="both"/>
              <w:rPr>
                <w:color w:val="auto"/>
                <w:sz w:val="22"/>
                <w:szCs w:val="22"/>
              </w:rPr>
            </w:pPr>
          </w:p>
          <w:p w:rsidR="00B00A27" w:rsidRPr="000B3150" w:rsidRDefault="00B00A27" w:rsidP="00B00A27">
            <w:pPr>
              <w:pStyle w:val="Default"/>
              <w:jc w:val="both"/>
              <w:rPr>
                <w:color w:val="auto"/>
                <w:sz w:val="22"/>
                <w:szCs w:val="22"/>
              </w:rPr>
            </w:pPr>
            <w:r>
              <w:rPr>
                <w:color w:val="auto"/>
                <w:sz w:val="22"/>
                <w:szCs w:val="22"/>
              </w:rPr>
              <w:t>The department of Housing &amp; Residence Life</w:t>
            </w:r>
            <w:r w:rsidRPr="000B3150">
              <w:rPr>
                <w:color w:val="auto"/>
                <w:sz w:val="22"/>
                <w:szCs w:val="22"/>
              </w:rPr>
              <w:t xml:space="preserve"> continues to work cooperatively with other campus departments to further enhance facilities and increase occupancy.  Collaborations with the Division of Enrollment Management are ongoing to further increase the number of first-time freshman living in Laker Hall. Renovations and other improvements for the Clayton Station facility, in coordination with Facilities Management, have allowed us to market upgraded apartments and group housing opportunities to attract new residents.  In addition, we continue to partner with Academic Affairs to offer themed living-learni</w:t>
            </w:r>
            <w:r>
              <w:rPr>
                <w:color w:val="auto"/>
                <w:sz w:val="22"/>
                <w:szCs w:val="22"/>
              </w:rPr>
              <w:t xml:space="preserve">ng communities for all students, as well as selective opportunities for international faculty and students to engage in visits and academic programs at </w:t>
            </w:r>
            <w:r w:rsidRPr="0003559C">
              <w:rPr>
                <w:color w:val="auto"/>
                <w:sz w:val="22"/>
                <w:szCs w:val="22"/>
              </w:rPr>
              <w:t>Clayton State University</w:t>
            </w:r>
            <w:r>
              <w:rPr>
                <w:color w:val="auto"/>
                <w:sz w:val="22"/>
                <w:szCs w:val="22"/>
              </w:rPr>
              <w:t>.</w:t>
            </w:r>
          </w:p>
          <w:p w:rsidR="00B00A27" w:rsidRPr="000B3150" w:rsidRDefault="00B00A27" w:rsidP="00B00A27">
            <w:pPr>
              <w:pStyle w:val="Default"/>
              <w:jc w:val="both"/>
              <w:rPr>
                <w:color w:val="auto"/>
                <w:sz w:val="22"/>
                <w:szCs w:val="22"/>
              </w:rPr>
            </w:pPr>
          </w:p>
          <w:p w:rsidR="00B00A27" w:rsidRDefault="00B00A27" w:rsidP="00B00A27">
            <w:pPr>
              <w:pStyle w:val="Default"/>
              <w:jc w:val="both"/>
              <w:rPr>
                <w:color w:val="auto"/>
                <w:sz w:val="22"/>
                <w:szCs w:val="22"/>
              </w:rPr>
            </w:pPr>
            <w:r>
              <w:rPr>
                <w:color w:val="auto"/>
                <w:sz w:val="22"/>
                <w:szCs w:val="22"/>
              </w:rPr>
              <w:t>Clayton State University requested and received</w:t>
            </w:r>
            <w:r w:rsidRPr="000B3150">
              <w:rPr>
                <w:color w:val="auto"/>
                <w:sz w:val="22"/>
                <w:szCs w:val="22"/>
              </w:rPr>
              <w:t xml:space="preserve"> </w:t>
            </w:r>
            <w:r>
              <w:rPr>
                <w:color w:val="auto"/>
                <w:sz w:val="22"/>
                <w:szCs w:val="22"/>
              </w:rPr>
              <w:t>a $25 fee increase for the Student Activities Center (SAC), one of the projects in LLC I,</w:t>
            </w:r>
            <w:r w:rsidRPr="000B3150">
              <w:rPr>
                <w:color w:val="auto"/>
                <w:sz w:val="22"/>
                <w:szCs w:val="22"/>
              </w:rPr>
              <w:t xml:space="preserve"> that began Fall semester, 2013; therefore, the financial assumpt</w:t>
            </w:r>
            <w:r>
              <w:rPr>
                <w:color w:val="auto"/>
                <w:sz w:val="22"/>
                <w:szCs w:val="22"/>
              </w:rPr>
              <w:t>ions moving forward will be met for this facility.</w:t>
            </w:r>
            <w:r w:rsidRPr="000B3150">
              <w:rPr>
                <w:color w:val="auto"/>
                <w:sz w:val="22"/>
                <w:szCs w:val="22"/>
              </w:rPr>
              <w:t xml:space="preserve"> We will also continue to employ the cost saving measures we have used in the past. </w:t>
            </w:r>
            <w:r>
              <w:rPr>
                <w:color w:val="auto"/>
                <w:sz w:val="22"/>
                <w:szCs w:val="22"/>
              </w:rPr>
              <w:t xml:space="preserve">The SAC averaged 10,000 visitors per month during FY 14; the overall use of the Fitness Center alone increased by 10% over the previous fiscal year. The SAC staff provides opportunities for external constituents to rent and use the ballroom when available and not used by students. </w:t>
            </w:r>
            <w:r w:rsidRPr="000B3150">
              <w:rPr>
                <w:color w:val="auto"/>
                <w:sz w:val="22"/>
                <w:szCs w:val="22"/>
              </w:rPr>
              <w:t>The d</w:t>
            </w:r>
            <w:r>
              <w:rPr>
                <w:color w:val="auto"/>
                <w:sz w:val="22"/>
                <w:szCs w:val="22"/>
              </w:rPr>
              <w:t>ebt service ratio ending FY 2014 for the SAC was 1.04.</w:t>
            </w:r>
          </w:p>
          <w:p w:rsidR="00B00A27" w:rsidRPr="000B3150" w:rsidRDefault="00B00A27" w:rsidP="00B00A27">
            <w:pPr>
              <w:pStyle w:val="Default"/>
              <w:jc w:val="both"/>
              <w:rPr>
                <w:color w:val="auto"/>
                <w:sz w:val="22"/>
                <w:szCs w:val="22"/>
              </w:rPr>
            </w:pPr>
          </w:p>
          <w:p w:rsidR="00B00A27" w:rsidRDefault="00B00A27" w:rsidP="00B00A27">
            <w:pPr>
              <w:pStyle w:val="Default"/>
              <w:jc w:val="both"/>
              <w:rPr>
                <w:color w:val="auto"/>
                <w:sz w:val="22"/>
                <w:szCs w:val="22"/>
              </w:rPr>
            </w:pPr>
            <w:r w:rsidRPr="000B3150">
              <w:rPr>
                <w:color w:val="auto"/>
                <w:sz w:val="22"/>
                <w:szCs w:val="22"/>
              </w:rPr>
              <w:t xml:space="preserve">The debt service </w:t>
            </w:r>
            <w:r>
              <w:rPr>
                <w:color w:val="auto"/>
                <w:sz w:val="22"/>
                <w:szCs w:val="22"/>
              </w:rPr>
              <w:t>ratio for Laker Hall for FY 2014 was</w:t>
            </w:r>
            <w:r w:rsidRPr="005D5A95">
              <w:rPr>
                <w:color w:val="FFFFFF" w:themeColor="background1"/>
                <w:sz w:val="22"/>
                <w:szCs w:val="22"/>
              </w:rPr>
              <w:t>.</w:t>
            </w:r>
            <w:r w:rsidRPr="005D5A95">
              <w:rPr>
                <w:color w:val="auto"/>
                <w:sz w:val="22"/>
                <w:szCs w:val="22"/>
              </w:rPr>
              <w:t>1.10</w:t>
            </w:r>
            <w:r w:rsidRPr="005D5A95">
              <w:rPr>
                <w:color w:val="FFFFFF" w:themeColor="background1"/>
                <w:sz w:val="22"/>
                <w:szCs w:val="22"/>
              </w:rPr>
              <w:t xml:space="preserve"> </w:t>
            </w:r>
            <w:r w:rsidRPr="000B3150">
              <w:rPr>
                <w:color w:val="auto"/>
                <w:sz w:val="22"/>
                <w:szCs w:val="22"/>
              </w:rPr>
              <w:t>and for C</w:t>
            </w:r>
            <w:r>
              <w:rPr>
                <w:color w:val="auto"/>
                <w:sz w:val="22"/>
                <w:szCs w:val="22"/>
              </w:rPr>
              <w:t>layton Station</w:t>
            </w:r>
            <w:r w:rsidRPr="005D5A95">
              <w:rPr>
                <w:color w:val="auto"/>
                <w:sz w:val="22"/>
                <w:szCs w:val="22"/>
              </w:rPr>
              <w:t xml:space="preserve"> 1.14.</w:t>
            </w:r>
          </w:p>
          <w:p w:rsidR="001744C1" w:rsidRPr="00B00A27" w:rsidRDefault="00B00A27" w:rsidP="00EB6AA1">
            <w:pPr>
              <w:pStyle w:val="Default"/>
              <w:jc w:val="both"/>
              <w:rPr>
                <w:color w:val="auto"/>
                <w:sz w:val="22"/>
                <w:szCs w:val="22"/>
              </w:rPr>
            </w:pPr>
            <w:r w:rsidRPr="000B3150">
              <w:rPr>
                <w:color w:val="auto"/>
                <w:sz w:val="22"/>
                <w:szCs w:val="22"/>
              </w:rPr>
              <w:t xml:space="preserve">Available </w:t>
            </w:r>
            <w:r>
              <w:rPr>
                <w:color w:val="auto"/>
                <w:sz w:val="22"/>
                <w:szCs w:val="22"/>
              </w:rPr>
              <w:t xml:space="preserve">operating </w:t>
            </w:r>
            <w:r w:rsidRPr="000B3150">
              <w:rPr>
                <w:color w:val="auto"/>
                <w:sz w:val="22"/>
                <w:szCs w:val="22"/>
              </w:rPr>
              <w:t>reserve bal</w:t>
            </w:r>
            <w:r>
              <w:rPr>
                <w:color w:val="auto"/>
                <w:sz w:val="22"/>
                <w:szCs w:val="22"/>
              </w:rPr>
              <w:t>ances for the SAC ending FY 2014</w:t>
            </w:r>
            <w:r w:rsidRPr="000B3150">
              <w:rPr>
                <w:color w:val="auto"/>
                <w:sz w:val="22"/>
                <w:szCs w:val="22"/>
              </w:rPr>
              <w:t xml:space="preserve"> was $</w:t>
            </w:r>
            <w:r w:rsidRPr="00221E0D">
              <w:rPr>
                <w:color w:val="auto"/>
                <w:sz w:val="22"/>
                <w:szCs w:val="22"/>
              </w:rPr>
              <w:t>507,958;</w:t>
            </w:r>
            <w:r>
              <w:rPr>
                <w:color w:val="auto"/>
                <w:sz w:val="22"/>
                <w:szCs w:val="22"/>
              </w:rPr>
              <w:t xml:space="preserve"> for Clayton Station, $</w:t>
            </w:r>
            <w:r w:rsidRPr="00742C2A">
              <w:rPr>
                <w:color w:val="auto"/>
                <w:sz w:val="22"/>
                <w:szCs w:val="22"/>
              </w:rPr>
              <w:t>643,399</w:t>
            </w:r>
            <w:r>
              <w:rPr>
                <w:color w:val="auto"/>
                <w:sz w:val="22"/>
                <w:szCs w:val="22"/>
              </w:rPr>
              <w:t>, and for Laker Hall, $372,509</w:t>
            </w:r>
            <w:r w:rsidRPr="000B3150">
              <w:rPr>
                <w:color w:val="auto"/>
                <w:sz w:val="22"/>
                <w:szCs w:val="22"/>
              </w:rPr>
              <w:t xml:space="preserve">. </w:t>
            </w:r>
          </w:p>
          <w:p w:rsidR="001744C1" w:rsidRDefault="001744C1" w:rsidP="00EB6AA1">
            <w:pPr>
              <w:pStyle w:val="Default"/>
              <w:jc w:val="both"/>
              <w:rPr>
                <w:color w:val="auto"/>
              </w:rPr>
            </w:pPr>
          </w:p>
        </w:tc>
      </w:tr>
    </w:tbl>
    <w:p w:rsidR="001744C1" w:rsidRDefault="001744C1" w:rsidP="00940A65">
      <w:pPr>
        <w:pStyle w:val="Default"/>
        <w:jc w:val="both"/>
        <w:rPr>
          <w:color w:val="auto"/>
        </w:rPr>
      </w:pPr>
    </w:p>
    <w:p w:rsidR="00D76A15" w:rsidRDefault="00D76A15" w:rsidP="00D76A15">
      <w:pPr>
        <w:pStyle w:val="Default"/>
        <w:jc w:val="both"/>
        <w:rPr>
          <w:color w:val="auto"/>
        </w:rPr>
      </w:pPr>
    </w:p>
    <w:tbl>
      <w:tblPr>
        <w:tblStyle w:val="TableGrid"/>
        <w:tblW w:w="0" w:type="auto"/>
        <w:tblLook w:val="04A0" w:firstRow="1" w:lastRow="0" w:firstColumn="1" w:lastColumn="0" w:noHBand="0" w:noVBand="1"/>
      </w:tblPr>
      <w:tblGrid>
        <w:gridCol w:w="9576"/>
      </w:tblGrid>
      <w:tr w:rsidR="00D76A15" w:rsidRPr="00A800E3">
        <w:trPr>
          <w:trHeight w:val="323"/>
        </w:trPr>
        <w:tc>
          <w:tcPr>
            <w:tcW w:w="9576" w:type="dxa"/>
          </w:tcPr>
          <w:p w:rsidR="00D76A15" w:rsidRPr="00A800E3" w:rsidRDefault="00D76A15" w:rsidP="00EB6AA1">
            <w:pPr>
              <w:pStyle w:val="Default"/>
              <w:jc w:val="center"/>
              <w:rPr>
                <w:b/>
                <w:color w:val="auto"/>
                <w:sz w:val="32"/>
                <w:szCs w:val="32"/>
              </w:rPr>
            </w:pPr>
            <w:r w:rsidRPr="00A800E3">
              <w:rPr>
                <w:b/>
                <w:color w:val="auto"/>
                <w:sz w:val="32"/>
                <w:szCs w:val="32"/>
              </w:rPr>
              <w:t xml:space="preserve">Part </w:t>
            </w:r>
            <w:r w:rsidR="00BE063D">
              <w:rPr>
                <w:b/>
                <w:color w:val="auto"/>
                <w:sz w:val="32"/>
                <w:szCs w:val="32"/>
              </w:rPr>
              <w:t>VI</w:t>
            </w:r>
            <w:r w:rsidRPr="00A800E3">
              <w:rPr>
                <w:b/>
                <w:color w:val="auto"/>
                <w:sz w:val="32"/>
                <w:szCs w:val="32"/>
              </w:rPr>
              <w:t xml:space="preserve">:  </w:t>
            </w:r>
            <w:r>
              <w:rPr>
                <w:b/>
                <w:color w:val="auto"/>
                <w:sz w:val="32"/>
                <w:szCs w:val="32"/>
              </w:rPr>
              <w:t>Facility Needs</w:t>
            </w:r>
          </w:p>
        </w:tc>
      </w:tr>
      <w:tr w:rsidR="00D76A15" w:rsidRPr="00AC5C61">
        <w:tc>
          <w:tcPr>
            <w:tcW w:w="9576" w:type="dxa"/>
          </w:tcPr>
          <w:p w:rsidR="00D76A15" w:rsidRPr="00AC5C61" w:rsidRDefault="007425AF" w:rsidP="00B00288">
            <w:pPr>
              <w:pStyle w:val="Default"/>
              <w:numPr>
                <w:ilvl w:val="0"/>
                <w:numId w:val="1"/>
              </w:numPr>
              <w:jc w:val="both"/>
              <w:rPr>
                <w:color w:val="auto"/>
              </w:rPr>
            </w:pPr>
            <w:r w:rsidRPr="00BC7D98">
              <w:rPr>
                <w:color w:val="auto"/>
              </w:rPr>
              <w:t xml:space="preserve">Discuss the facility </w:t>
            </w:r>
            <w:r w:rsidR="00CB4F5E">
              <w:rPr>
                <w:color w:val="auto"/>
              </w:rPr>
              <w:t>needs of</w:t>
            </w:r>
            <w:r w:rsidRPr="00BC7D98">
              <w:rPr>
                <w:color w:val="auto"/>
              </w:rPr>
              <w:t xml:space="preserve"> your institution. </w:t>
            </w:r>
            <w:r w:rsidRPr="009B6B75">
              <w:rPr>
                <w:b/>
                <w:i/>
                <w:color w:val="auto"/>
              </w:rPr>
              <w:t>Please use the attached Excel template to provide the estimated cost associated with each priority (tab labeled Facilities).</w:t>
            </w:r>
          </w:p>
        </w:tc>
      </w:tr>
      <w:tr w:rsidR="00D76A15">
        <w:tc>
          <w:tcPr>
            <w:tcW w:w="9576" w:type="dxa"/>
          </w:tcPr>
          <w:p w:rsidR="00FD7130" w:rsidRDefault="00FD7130" w:rsidP="00FD7130">
            <w:pPr>
              <w:jc w:val="both"/>
              <w:rPr>
                <w:rFonts w:ascii="Times New Roman" w:hAnsi="Times New Roman" w:cs="Times New Roman"/>
              </w:rPr>
            </w:pPr>
            <w:r>
              <w:rPr>
                <w:rFonts w:ascii="Times New Roman" w:hAnsi="Times New Roman" w:cs="Times New Roman"/>
              </w:rPr>
              <w:t xml:space="preserve">Clayton State University utilizes over one million gross square feet of space. There are a total of 38 buildings (not including rented space in Fayette, Henry and Rockdale counties). Over 700,000 gross square feet are devoted to resident instruction at the University. The institution has fifteen academic buildings; 11 of which are classroom buildings, four educational support buildings, one 450-bed residential building and 14 apartment buildings (850 beds). The University is currently constructing a new Science Building thanks to the support of the Board of Regents and state. </w:t>
            </w:r>
          </w:p>
          <w:p w:rsidR="00FD7130" w:rsidRDefault="00FD7130" w:rsidP="00FD7130">
            <w:pPr>
              <w:jc w:val="both"/>
              <w:rPr>
                <w:rFonts w:ascii="Times New Roman" w:hAnsi="Times New Roman" w:cs="Times New Roman"/>
                <w:sz w:val="24"/>
                <w:szCs w:val="24"/>
              </w:rPr>
            </w:pPr>
          </w:p>
          <w:p w:rsidR="00FD7130" w:rsidRPr="00C653DA" w:rsidRDefault="00FD7130" w:rsidP="006B4815">
            <w:pPr>
              <w:pStyle w:val="NoSpacing"/>
              <w:jc w:val="both"/>
              <w:rPr>
                <w:rFonts w:ascii="Times New Roman" w:hAnsi="Times New Roman" w:cs="Times New Roman"/>
              </w:rPr>
            </w:pPr>
            <w:r w:rsidRPr="00C653DA">
              <w:rPr>
                <w:rFonts w:ascii="Times New Roman" w:hAnsi="Times New Roman" w:cs="Times New Roman"/>
              </w:rPr>
              <w:t xml:space="preserve">CSU continues to focus on using its existing space to the fullest. The University is also committed to maintaining its physical resources to meet the needs of all of our constituents. </w:t>
            </w:r>
          </w:p>
          <w:p w:rsidR="00FD7130" w:rsidRDefault="00FD7130" w:rsidP="00FD7130">
            <w:pPr>
              <w:pStyle w:val="NoSpacing"/>
              <w:rPr>
                <w:rFonts w:ascii="Times New Roman" w:hAnsi="Times New Roman" w:cs="Times New Roman"/>
                <w:b/>
                <w:sz w:val="24"/>
                <w:szCs w:val="24"/>
              </w:rPr>
            </w:pPr>
            <w:bookmarkStart w:id="1" w:name="_Toc158696411"/>
            <w:bookmarkStart w:id="2" w:name="_Toc352136118"/>
          </w:p>
          <w:p w:rsidR="00FD7130" w:rsidRPr="00425F1B" w:rsidRDefault="00FD7130" w:rsidP="00FD7130">
            <w:pPr>
              <w:pStyle w:val="NoSpacing"/>
              <w:rPr>
                <w:rFonts w:ascii="Times New Roman" w:hAnsi="Times New Roman" w:cs="Times New Roman"/>
                <w:b/>
                <w:sz w:val="24"/>
                <w:szCs w:val="24"/>
              </w:rPr>
            </w:pPr>
            <w:r w:rsidRPr="00425F1B">
              <w:rPr>
                <w:rFonts w:ascii="Times New Roman" w:hAnsi="Times New Roman" w:cs="Times New Roman"/>
                <w:b/>
                <w:sz w:val="24"/>
                <w:szCs w:val="24"/>
              </w:rPr>
              <w:t>Budget Development FY16</w:t>
            </w:r>
          </w:p>
          <w:p w:rsidR="00FD7130" w:rsidRPr="00425F1B" w:rsidRDefault="00FD7130" w:rsidP="00FD7130">
            <w:pPr>
              <w:pStyle w:val="NoSpacing"/>
              <w:rPr>
                <w:rFonts w:ascii="Times New Roman" w:hAnsi="Times New Roman" w:cs="Times New Roman"/>
                <w:b/>
                <w:sz w:val="24"/>
                <w:szCs w:val="24"/>
              </w:rPr>
            </w:pPr>
          </w:p>
          <w:p w:rsidR="00FD7130" w:rsidRPr="00425F1B" w:rsidRDefault="00FD7130" w:rsidP="00FD7130">
            <w:pPr>
              <w:pStyle w:val="NoSpacing"/>
              <w:numPr>
                <w:ilvl w:val="0"/>
                <w:numId w:val="9"/>
              </w:numPr>
              <w:rPr>
                <w:rFonts w:ascii="Times New Roman" w:hAnsi="Times New Roman" w:cs="Times New Roman"/>
                <w:b/>
                <w:sz w:val="24"/>
                <w:szCs w:val="24"/>
              </w:rPr>
            </w:pPr>
            <w:r w:rsidRPr="00425F1B">
              <w:rPr>
                <w:rFonts w:ascii="Times New Roman" w:hAnsi="Times New Roman" w:cs="Times New Roman"/>
                <w:b/>
                <w:sz w:val="24"/>
                <w:szCs w:val="24"/>
              </w:rPr>
              <w:t>Academic Core Renovation (Design Phase)</w:t>
            </w:r>
          </w:p>
          <w:p w:rsidR="00FD7130" w:rsidRPr="009C6E29" w:rsidRDefault="00FD7130" w:rsidP="00FD7130">
            <w:pPr>
              <w:pStyle w:val="NoSpacing"/>
              <w:jc w:val="both"/>
              <w:rPr>
                <w:rFonts w:ascii="Times New Roman" w:hAnsi="Times New Roman" w:cs="Times New Roman"/>
              </w:rPr>
            </w:pPr>
          </w:p>
          <w:bookmarkEnd w:id="1"/>
          <w:bookmarkEnd w:id="2"/>
          <w:p w:rsidR="00FD7130" w:rsidRPr="002F210E" w:rsidRDefault="00FD7130" w:rsidP="00FD7130">
            <w:pPr>
              <w:pStyle w:val="NoSpacing"/>
              <w:ind w:left="720"/>
              <w:jc w:val="both"/>
              <w:rPr>
                <w:rFonts w:ascii="Times New Roman" w:hAnsi="Times New Roman" w:cs="Times New Roman"/>
                <w:b/>
                <w:sz w:val="24"/>
                <w:szCs w:val="24"/>
              </w:rPr>
            </w:pPr>
            <w:r w:rsidRPr="002F210E">
              <w:rPr>
                <w:rFonts w:ascii="Times New Roman" w:hAnsi="Times New Roman" w:cs="Times New Roman"/>
                <w:b/>
                <w:sz w:val="24"/>
                <w:szCs w:val="24"/>
              </w:rPr>
              <w:t>1A. Academic Core Renovation - Arts &amp; Sciences:</w:t>
            </w:r>
          </w:p>
          <w:p w:rsidR="00FD7130" w:rsidRPr="009C6E29" w:rsidRDefault="00FD7130" w:rsidP="00FD7130">
            <w:pPr>
              <w:pStyle w:val="NoSpacing"/>
              <w:ind w:left="720"/>
              <w:jc w:val="both"/>
              <w:rPr>
                <w:rFonts w:ascii="Times New Roman" w:hAnsi="Times New Roman" w:cs="Times New Roman"/>
                <w:b/>
              </w:rPr>
            </w:pPr>
          </w:p>
          <w:p w:rsidR="00FD7130" w:rsidRDefault="00FD7130" w:rsidP="00FD7130">
            <w:pPr>
              <w:pStyle w:val="NoSpacing"/>
              <w:ind w:left="720"/>
              <w:jc w:val="both"/>
              <w:rPr>
                <w:rFonts w:ascii="Times New Roman" w:hAnsi="Times New Roman" w:cs="Times New Roman"/>
              </w:rPr>
            </w:pPr>
            <w:r w:rsidRPr="008845CA">
              <w:rPr>
                <w:rFonts w:ascii="Times New Roman" w:hAnsi="Times New Roman" w:cs="Times New Roman"/>
              </w:rPr>
              <w:t xml:space="preserve">Arts &amp; Sciences was built in 1974 and is mainly dedicated to classroom space. </w:t>
            </w:r>
            <w:r w:rsidR="00A17D43" w:rsidRPr="008845CA">
              <w:rPr>
                <w:rFonts w:ascii="Times New Roman" w:hAnsi="Times New Roman" w:cs="Times New Roman"/>
              </w:rPr>
              <w:t>The building is a heavily utilized classroom building and houses 52 faculty</w:t>
            </w:r>
            <w:r w:rsidR="00A17D43">
              <w:rPr>
                <w:rFonts w:ascii="Times New Roman" w:hAnsi="Times New Roman" w:cs="Times New Roman"/>
              </w:rPr>
              <w:t xml:space="preserve"> on</w:t>
            </w:r>
            <w:r w:rsidR="00A17D43" w:rsidRPr="008845CA">
              <w:rPr>
                <w:rFonts w:ascii="Times New Roman" w:hAnsi="Times New Roman" w:cs="Times New Roman"/>
              </w:rPr>
              <w:t xml:space="preserve"> its two floors. </w:t>
            </w:r>
            <w:r w:rsidRPr="008845CA">
              <w:rPr>
                <w:rFonts w:ascii="Times New Roman" w:hAnsi="Times New Roman" w:cs="Times New Roman"/>
              </w:rPr>
              <w:t>Only a few minor upgrades occurred over the years, including lighting upgrades, partial window replacement and partial ceiling tile replacement and a 2014 second floor HVAC upgrade.</w:t>
            </w:r>
          </w:p>
          <w:p w:rsidR="00425F1B" w:rsidRPr="008845CA" w:rsidRDefault="00425F1B" w:rsidP="00FD7130">
            <w:pPr>
              <w:pStyle w:val="NoSpacing"/>
              <w:ind w:left="720"/>
              <w:jc w:val="both"/>
              <w:rPr>
                <w:rFonts w:ascii="Times New Roman" w:hAnsi="Times New Roman" w:cs="Times New Roman"/>
              </w:rPr>
            </w:pPr>
          </w:p>
          <w:p w:rsidR="00FD7130" w:rsidRPr="00425F1B" w:rsidRDefault="00FD7130" w:rsidP="00FD7130">
            <w:pPr>
              <w:spacing w:after="200" w:line="276" w:lineRule="auto"/>
              <w:ind w:left="720"/>
              <w:jc w:val="both"/>
              <w:rPr>
                <w:rFonts w:ascii="Times New Roman" w:hAnsi="Times New Roman" w:cs="Times New Roman"/>
                <w:b/>
                <w:u w:val="single"/>
              </w:rPr>
            </w:pPr>
            <w:r w:rsidRPr="00425F1B">
              <w:rPr>
                <w:rFonts w:ascii="Times New Roman" w:hAnsi="Times New Roman" w:cs="Times New Roman"/>
                <w:b/>
                <w:u w:val="single"/>
              </w:rPr>
              <w:t xml:space="preserve">Needs </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 xml:space="preserve">Building Envelope Upgrades: Roof is in very poor condition with several leaks causing moisture in building and </w:t>
            </w:r>
            <w:r>
              <w:rPr>
                <w:rFonts w:ascii="Times New Roman" w:hAnsi="Times New Roman" w:cs="Times New Roman"/>
              </w:rPr>
              <w:t>resulting in</w:t>
            </w:r>
            <w:r w:rsidRPr="008845CA">
              <w:rPr>
                <w:rFonts w:ascii="Times New Roman" w:hAnsi="Times New Roman" w:cs="Times New Roman"/>
              </w:rPr>
              <w:t xml:space="preserve"> additional problems with humidity in the building. </w:t>
            </w:r>
            <w:r>
              <w:rPr>
                <w:rFonts w:ascii="Times New Roman" w:hAnsi="Times New Roman" w:cs="Times New Roman"/>
              </w:rPr>
              <w:t>Single</w:t>
            </w:r>
            <w:r w:rsidRPr="008845CA">
              <w:rPr>
                <w:rFonts w:ascii="Times New Roman" w:hAnsi="Times New Roman" w:cs="Times New Roman"/>
              </w:rPr>
              <w:t xml:space="preserve">-pane windows </w:t>
            </w:r>
            <w:r>
              <w:rPr>
                <w:rFonts w:ascii="Times New Roman" w:hAnsi="Times New Roman" w:cs="Times New Roman"/>
              </w:rPr>
              <w:t xml:space="preserve">need to be replaced because of </w:t>
            </w:r>
            <w:r w:rsidRPr="008845CA">
              <w:rPr>
                <w:rFonts w:ascii="Times New Roman" w:hAnsi="Times New Roman" w:cs="Times New Roman"/>
              </w:rPr>
              <w:t xml:space="preserve">insufficient R values. </w:t>
            </w:r>
          </w:p>
          <w:p w:rsidR="00FD7130" w:rsidRPr="008845CA" w:rsidRDefault="00FD7130" w:rsidP="00FD7130">
            <w:pPr>
              <w:numPr>
                <w:ilvl w:val="0"/>
                <w:numId w:val="8"/>
              </w:numPr>
              <w:spacing w:after="200"/>
              <w:contextualSpacing/>
              <w:jc w:val="both"/>
              <w:rPr>
                <w:rFonts w:ascii="Times New Roman" w:hAnsi="Times New Roman" w:cs="Times New Roman"/>
                <w:b/>
              </w:rPr>
            </w:pPr>
            <w:r w:rsidRPr="008845CA">
              <w:rPr>
                <w:rFonts w:ascii="Times New Roman" w:hAnsi="Times New Roman" w:cs="Times New Roman"/>
              </w:rPr>
              <w:t xml:space="preserve">HVAC system upgrade </w:t>
            </w:r>
            <w:r>
              <w:rPr>
                <w:rFonts w:ascii="Times New Roman" w:hAnsi="Times New Roman" w:cs="Times New Roman"/>
              </w:rPr>
              <w:t>for</w:t>
            </w:r>
            <w:r w:rsidRPr="008845CA">
              <w:rPr>
                <w:rFonts w:ascii="Times New Roman" w:hAnsi="Times New Roman" w:cs="Times New Roman"/>
              </w:rPr>
              <w:t xml:space="preserve"> first floor scheduled for completion in Summer 2015. </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Bring building up to current ADA code standards. (Classrooms).</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 xml:space="preserve">Reconfigure space to be more efficient and to meet BOR guidelines. </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 xml:space="preserve">Plumbing valves, pipes and fittings </w:t>
            </w:r>
            <w:r>
              <w:rPr>
                <w:rFonts w:ascii="Times New Roman" w:hAnsi="Times New Roman" w:cs="Times New Roman"/>
              </w:rPr>
              <w:t xml:space="preserve">are </w:t>
            </w:r>
            <w:r w:rsidRPr="008845CA">
              <w:rPr>
                <w:rFonts w:ascii="Times New Roman" w:hAnsi="Times New Roman" w:cs="Times New Roman"/>
              </w:rPr>
              <w:t>in poor condition.</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 xml:space="preserve">Electrical system </w:t>
            </w:r>
            <w:r>
              <w:rPr>
                <w:rFonts w:ascii="Times New Roman" w:hAnsi="Times New Roman" w:cs="Times New Roman"/>
              </w:rPr>
              <w:t xml:space="preserve">is </w:t>
            </w:r>
            <w:r w:rsidRPr="008845CA">
              <w:rPr>
                <w:rFonts w:ascii="Times New Roman" w:hAnsi="Times New Roman" w:cs="Times New Roman"/>
              </w:rPr>
              <w:t>in poor condition.</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Fire Alarm system upgrade.</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Improve classroom acoustics.</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Theater seating and flooring upgrade.</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Addition of a lobby area adjacent to the Theater.</w:t>
            </w:r>
          </w:p>
          <w:p w:rsidR="00FD7130" w:rsidRPr="008845CA" w:rsidRDefault="00FD7130" w:rsidP="00FD7130">
            <w:pPr>
              <w:numPr>
                <w:ilvl w:val="0"/>
                <w:numId w:val="7"/>
              </w:numPr>
              <w:spacing w:after="200"/>
              <w:contextualSpacing/>
              <w:jc w:val="both"/>
              <w:rPr>
                <w:rFonts w:ascii="Times New Roman" w:hAnsi="Times New Roman" w:cs="Times New Roman"/>
              </w:rPr>
            </w:pPr>
            <w:r w:rsidRPr="008845CA">
              <w:rPr>
                <w:rFonts w:ascii="Times New Roman" w:hAnsi="Times New Roman" w:cs="Times New Roman"/>
              </w:rPr>
              <w:t>Addition of an exterior canopy and walk path to connect workshop and the Theater's stage.</w:t>
            </w:r>
          </w:p>
          <w:p w:rsidR="00FD7130" w:rsidRPr="008845CA" w:rsidRDefault="00FD7130" w:rsidP="00FD7130">
            <w:pPr>
              <w:numPr>
                <w:ilvl w:val="0"/>
                <w:numId w:val="7"/>
              </w:numPr>
              <w:spacing w:before="240" w:after="200"/>
              <w:contextualSpacing/>
              <w:jc w:val="both"/>
              <w:rPr>
                <w:rFonts w:ascii="Times New Roman" w:hAnsi="Times New Roman" w:cs="Times New Roman"/>
              </w:rPr>
            </w:pPr>
            <w:r w:rsidRPr="008845CA">
              <w:rPr>
                <w:rFonts w:ascii="Times New Roman" w:hAnsi="Times New Roman" w:cs="Times New Roman"/>
              </w:rPr>
              <w:t xml:space="preserve">Carpet/flooring replacement for the offices. </w:t>
            </w:r>
          </w:p>
          <w:p w:rsidR="00FD7130" w:rsidRPr="009C6E29" w:rsidRDefault="00FD7130" w:rsidP="00FD7130">
            <w:pPr>
              <w:spacing w:before="240" w:after="200" w:line="276" w:lineRule="auto"/>
              <w:ind w:left="720"/>
              <w:contextualSpacing/>
              <w:jc w:val="both"/>
              <w:rPr>
                <w:rFonts w:ascii="Times New Roman" w:hAnsi="Times New Roman" w:cs="Times New Roman"/>
                <w:sz w:val="24"/>
                <w:szCs w:val="24"/>
              </w:rPr>
            </w:pPr>
          </w:p>
          <w:p w:rsidR="00FD7130" w:rsidRPr="002F210E" w:rsidRDefault="00FD7130" w:rsidP="00FD7130">
            <w:pPr>
              <w:spacing w:after="200" w:line="276" w:lineRule="auto"/>
              <w:ind w:left="720"/>
              <w:jc w:val="both"/>
              <w:rPr>
                <w:rFonts w:ascii="Times New Roman" w:hAnsi="Times New Roman" w:cs="Times New Roman"/>
                <w:b/>
                <w:sz w:val="24"/>
                <w:szCs w:val="24"/>
              </w:rPr>
            </w:pPr>
            <w:r w:rsidRPr="002F210E">
              <w:rPr>
                <w:rFonts w:ascii="Times New Roman" w:hAnsi="Times New Roman" w:cs="Times New Roman"/>
                <w:b/>
                <w:sz w:val="24"/>
                <w:szCs w:val="24"/>
              </w:rPr>
              <w:t xml:space="preserve">1B. Academic Core Renovation – Lecture Hall Upgrade: </w:t>
            </w:r>
          </w:p>
          <w:p w:rsidR="00FD7130" w:rsidRPr="008845CA" w:rsidRDefault="00FD7130" w:rsidP="00FD7130">
            <w:pPr>
              <w:spacing w:after="200" w:line="276" w:lineRule="auto"/>
              <w:ind w:left="720"/>
              <w:jc w:val="both"/>
              <w:rPr>
                <w:rFonts w:ascii="Times New Roman" w:hAnsi="Times New Roman" w:cs="Times New Roman"/>
                <w:b/>
              </w:rPr>
            </w:pPr>
            <w:r w:rsidRPr="008845CA">
              <w:rPr>
                <w:rFonts w:ascii="Times New Roman" w:hAnsi="Times New Roman" w:cs="Times New Roman"/>
              </w:rPr>
              <w:t xml:space="preserve">Lecture Hall had roof replaced in 2000 and cosmetic upgrade in 2003. The building is the only academic facility on campus that is 100% dedicated to auditorium style classrooms. It has been utilized very heavy. </w:t>
            </w:r>
          </w:p>
          <w:p w:rsidR="00FD7130" w:rsidRPr="00425F1B" w:rsidRDefault="00FD7130" w:rsidP="00FD7130">
            <w:pPr>
              <w:spacing w:after="200" w:line="276" w:lineRule="auto"/>
              <w:ind w:left="720"/>
              <w:jc w:val="both"/>
              <w:rPr>
                <w:rFonts w:ascii="Times New Roman" w:hAnsi="Times New Roman" w:cs="Times New Roman"/>
                <w:b/>
                <w:u w:val="single"/>
              </w:rPr>
            </w:pPr>
            <w:r w:rsidRPr="00425F1B">
              <w:rPr>
                <w:rFonts w:ascii="Times New Roman" w:hAnsi="Times New Roman" w:cs="Times New Roman"/>
                <w:b/>
                <w:u w:val="single"/>
              </w:rPr>
              <w:lastRenderedPageBreak/>
              <w:t xml:space="preserve">Needs </w:t>
            </w:r>
          </w:p>
          <w:p w:rsidR="00FD7130" w:rsidRPr="008845CA" w:rsidRDefault="00FD7130" w:rsidP="00FD7130">
            <w:pPr>
              <w:pStyle w:val="NoSpacing"/>
              <w:numPr>
                <w:ilvl w:val="0"/>
                <w:numId w:val="7"/>
              </w:numPr>
              <w:jc w:val="both"/>
              <w:rPr>
                <w:rFonts w:ascii="Times New Roman" w:hAnsi="Times New Roman" w:cs="Times New Roman"/>
              </w:rPr>
            </w:pPr>
            <w:r>
              <w:rPr>
                <w:rFonts w:ascii="Times New Roman" w:hAnsi="Times New Roman" w:cs="Times New Roman"/>
              </w:rPr>
              <w:t>Replace</w:t>
            </w:r>
            <w:r w:rsidRPr="008845CA">
              <w:rPr>
                <w:rFonts w:ascii="Times New Roman" w:hAnsi="Times New Roman" w:cs="Times New Roman"/>
              </w:rPr>
              <w:t xml:space="preserve"> Air handler</w:t>
            </w:r>
            <w:r>
              <w:rPr>
                <w:rFonts w:ascii="Times New Roman" w:hAnsi="Times New Roman" w:cs="Times New Roman"/>
              </w:rPr>
              <w:t>s</w:t>
            </w:r>
            <w:r w:rsidRPr="008845CA">
              <w:rPr>
                <w:rFonts w:ascii="Times New Roman" w:hAnsi="Times New Roman" w:cs="Times New Roman"/>
              </w:rPr>
              <w:t xml:space="preserve">. </w:t>
            </w:r>
          </w:p>
          <w:p w:rsidR="00FD7130" w:rsidRPr="008845CA" w:rsidRDefault="00FD7130" w:rsidP="00FD7130">
            <w:pPr>
              <w:pStyle w:val="NoSpacing"/>
              <w:numPr>
                <w:ilvl w:val="0"/>
                <w:numId w:val="7"/>
              </w:numPr>
              <w:jc w:val="both"/>
              <w:rPr>
                <w:rFonts w:ascii="Times New Roman" w:hAnsi="Times New Roman" w:cs="Times New Roman"/>
              </w:rPr>
            </w:pPr>
            <w:r>
              <w:rPr>
                <w:rFonts w:ascii="Times New Roman" w:hAnsi="Times New Roman" w:cs="Times New Roman"/>
              </w:rPr>
              <w:t>U</w:t>
            </w:r>
            <w:r w:rsidRPr="008845CA">
              <w:rPr>
                <w:rFonts w:ascii="Times New Roman" w:hAnsi="Times New Roman" w:cs="Times New Roman"/>
              </w:rPr>
              <w:t xml:space="preserve">pgrade </w:t>
            </w:r>
            <w:r>
              <w:rPr>
                <w:rFonts w:ascii="Times New Roman" w:hAnsi="Times New Roman" w:cs="Times New Roman"/>
              </w:rPr>
              <w:t>e</w:t>
            </w:r>
            <w:r w:rsidRPr="008845CA">
              <w:rPr>
                <w:rFonts w:ascii="Times New Roman" w:hAnsi="Times New Roman" w:cs="Times New Roman"/>
              </w:rPr>
              <w:t>lectrical and controls.</w:t>
            </w:r>
          </w:p>
          <w:p w:rsidR="00FD7130" w:rsidRPr="008845CA" w:rsidRDefault="00FD7130" w:rsidP="00FD7130">
            <w:pPr>
              <w:pStyle w:val="NoSpacing"/>
              <w:numPr>
                <w:ilvl w:val="0"/>
                <w:numId w:val="7"/>
              </w:numPr>
              <w:jc w:val="both"/>
              <w:rPr>
                <w:rFonts w:ascii="Times New Roman" w:hAnsi="Times New Roman" w:cs="Times New Roman"/>
              </w:rPr>
            </w:pPr>
            <w:r>
              <w:rPr>
                <w:rFonts w:ascii="Times New Roman" w:hAnsi="Times New Roman" w:cs="Times New Roman"/>
              </w:rPr>
              <w:t>U</w:t>
            </w:r>
            <w:r w:rsidRPr="008845CA">
              <w:rPr>
                <w:rFonts w:ascii="Times New Roman" w:hAnsi="Times New Roman" w:cs="Times New Roman"/>
              </w:rPr>
              <w:t>pgrade</w:t>
            </w:r>
            <w:r>
              <w:rPr>
                <w:rFonts w:ascii="Times New Roman" w:hAnsi="Times New Roman" w:cs="Times New Roman"/>
              </w:rPr>
              <w:t xml:space="preserve"> IT/AV</w:t>
            </w:r>
            <w:r w:rsidRPr="008845CA">
              <w:rPr>
                <w:rFonts w:ascii="Times New Roman" w:hAnsi="Times New Roman" w:cs="Times New Roman"/>
              </w:rPr>
              <w:t>.</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Reconfigure two classrooms into three classrooms.</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Enclose exterior canopy for study area.</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Ceiling and finishes upgrades.</w:t>
            </w:r>
          </w:p>
          <w:p w:rsidR="00FD7130" w:rsidRPr="009C6E29" w:rsidRDefault="00FD7130" w:rsidP="00FD7130">
            <w:pPr>
              <w:pStyle w:val="NoSpacing"/>
              <w:ind w:left="720"/>
              <w:jc w:val="both"/>
              <w:rPr>
                <w:rFonts w:ascii="Times New Roman" w:hAnsi="Times New Roman" w:cs="Times New Roman"/>
              </w:rPr>
            </w:pPr>
          </w:p>
          <w:p w:rsidR="00FD7130" w:rsidRPr="002F210E" w:rsidRDefault="00FD7130" w:rsidP="00FD7130">
            <w:pPr>
              <w:spacing w:after="200"/>
              <w:ind w:left="720"/>
              <w:jc w:val="both"/>
              <w:rPr>
                <w:rFonts w:ascii="Times New Roman" w:hAnsi="Times New Roman" w:cs="Times New Roman"/>
                <w:b/>
                <w:sz w:val="24"/>
                <w:szCs w:val="24"/>
              </w:rPr>
            </w:pPr>
            <w:r w:rsidRPr="002F210E">
              <w:rPr>
                <w:rFonts w:ascii="Times New Roman" w:hAnsi="Times New Roman" w:cs="Times New Roman"/>
                <w:b/>
                <w:sz w:val="24"/>
                <w:szCs w:val="24"/>
              </w:rPr>
              <w:t xml:space="preserve">1C. Centralized System for Harry S. Downs Center for Continuing Education, Spivey Hall and Music Education Building: </w:t>
            </w:r>
          </w:p>
          <w:p w:rsidR="00FD7130" w:rsidRPr="008845CA" w:rsidRDefault="00FD7130" w:rsidP="00FD7130">
            <w:pPr>
              <w:spacing w:after="200" w:line="276" w:lineRule="auto"/>
              <w:ind w:left="720"/>
              <w:jc w:val="both"/>
              <w:rPr>
                <w:rFonts w:ascii="Times New Roman" w:hAnsi="Times New Roman" w:cs="Times New Roman"/>
              </w:rPr>
            </w:pPr>
            <w:r w:rsidRPr="008845CA">
              <w:rPr>
                <w:rFonts w:ascii="Times New Roman" w:hAnsi="Times New Roman" w:cs="Times New Roman"/>
              </w:rPr>
              <w:t xml:space="preserve">Individual air cooled chillers for buildings </w:t>
            </w:r>
            <w:r>
              <w:rPr>
                <w:rFonts w:ascii="Times New Roman" w:hAnsi="Times New Roman" w:cs="Times New Roman"/>
              </w:rPr>
              <w:t xml:space="preserve">are </w:t>
            </w:r>
            <w:r w:rsidRPr="008845CA">
              <w:rPr>
                <w:rFonts w:ascii="Times New Roman" w:hAnsi="Times New Roman" w:cs="Times New Roman"/>
              </w:rPr>
              <w:t>highly inefficient. Construction of a new centralized utility infrastructure loop in the West side of campus will assist with energy-efficiency measures for the three existing buildings in that area of campus and allow upgrade possibility for the future expansion. Campus is planning to replace electrical system, adjust mechanical system to</w:t>
            </w:r>
            <w:r>
              <w:rPr>
                <w:rFonts w:ascii="Times New Roman" w:hAnsi="Times New Roman" w:cs="Times New Roman"/>
              </w:rPr>
              <w:t xml:space="preserve"> support chilled/hot water loop</w:t>
            </w:r>
            <w:r w:rsidRPr="008845CA">
              <w:rPr>
                <w:rFonts w:ascii="Times New Roman" w:hAnsi="Times New Roman" w:cs="Times New Roman"/>
              </w:rPr>
              <w:t xml:space="preserve"> infrastructure.  Buildings’ combined square footage is 109,329 sq.</w:t>
            </w:r>
            <w:r>
              <w:rPr>
                <w:rFonts w:ascii="Times New Roman" w:hAnsi="Times New Roman" w:cs="Times New Roman"/>
              </w:rPr>
              <w:t xml:space="preserve"> </w:t>
            </w:r>
            <w:r w:rsidRPr="008845CA">
              <w:rPr>
                <w:rFonts w:ascii="Times New Roman" w:hAnsi="Times New Roman" w:cs="Times New Roman"/>
              </w:rPr>
              <w:t>ft. (Continuing Education &amp; College of Nursing</w:t>
            </w:r>
            <w:r>
              <w:rPr>
                <w:rFonts w:ascii="Times New Roman" w:hAnsi="Times New Roman" w:cs="Times New Roman"/>
              </w:rPr>
              <w:t>; 47,877 sq. ft.</w:t>
            </w:r>
            <w:r w:rsidRPr="008845CA">
              <w:rPr>
                <w:rFonts w:ascii="Times New Roman" w:hAnsi="Times New Roman" w:cs="Times New Roman"/>
              </w:rPr>
              <w:t xml:space="preserve">; Music Education Bldg. </w:t>
            </w:r>
            <w:r>
              <w:rPr>
                <w:rFonts w:ascii="Times New Roman" w:hAnsi="Times New Roman" w:cs="Times New Roman"/>
              </w:rPr>
              <w:t>28,620 sq. ft.</w:t>
            </w:r>
            <w:r w:rsidRPr="008845CA">
              <w:rPr>
                <w:rFonts w:ascii="Times New Roman" w:hAnsi="Times New Roman" w:cs="Times New Roman"/>
              </w:rPr>
              <w:t>; and Spivey Hall 32,865 sq.</w:t>
            </w:r>
            <w:r>
              <w:rPr>
                <w:rFonts w:ascii="Times New Roman" w:hAnsi="Times New Roman" w:cs="Times New Roman"/>
              </w:rPr>
              <w:t xml:space="preserve"> </w:t>
            </w:r>
            <w:r w:rsidRPr="008845CA">
              <w:rPr>
                <w:rFonts w:ascii="Times New Roman" w:hAnsi="Times New Roman" w:cs="Times New Roman"/>
              </w:rPr>
              <w:t>ft.)</w:t>
            </w:r>
          </w:p>
          <w:p w:rsidR="00FD7130" w:rsidRPr="00425F1B" w:rsidRDefault="00FD7130" w:rsidP="00FD7130">
            <w:pPr>
              <w:spacing w:after="200" w:line="276" w:lineRule="auto"/>
              <w:ind w:left="720"/>
              <w:jc w:val="both"/>
              <w:rPr>
                <w:rFonts w:ascii="Times New Roman" w:hAnsi="Times New Roman" w:cs="Times New Roman"/>
                <w:b/>
                <w:u w:val="single"/>
              </w:rPr>
            </w:pPr>
            <w:r w:rsidRPr="00425F1B">
              <w:rPr>
                <w:rFonts w:ascii="Times New Roman" w:hAnsi="Times New Roman" w:cs="Times New Roman"/>
                <w:b/>
                <w:u w:val="single"/>
              </w:rPr>
              <w:t xml:space="preserve">Needs </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Need a Central hot/chilled loop to accommodate the above mentioned buildings’ heating and cooling needs with more efficient energy approach.</w:t>
            </w:r>
          </w:p>
          <w:p w:rsidR="00FD7130" w:rsidRPr="008845CA" w:rsidRDefault="00FD7130" w:rsidP="00FD7130">
            <w:pPr>
              <w:pStyle w:val="NoSpacing"/>
              <w:numPr>
                <w:ilvl w:val="0"/>
                <w:numId w:val="7"/>
              </w:numPr>
              <w:jc w:val="both"/>
              <w:rPr>
                <w:rFonts w:ascii="Times New Roman" w:hAnsi="Times New Roman" w:cs="Times New Roman"/>
              </w:rPr>
            </w:pPr>
            <w:r>
              <w:rPr>
                <w:rFonts w:ascii="Times New Roman" w:hAnsi="Times New Roman" w:cs="Times New Roman"/>
              </w:rPr>
              <w:t>Replace electrical system</w:t>
            </w:r>
            <w:r w:rsidRPr="008845CA">
              <w:rPr>
                <w:rFonts w:ascii="Times New Roman" w:hAnsi="Times New Roman" w:cs="Times New Roman"/>
              </w:rPr>
              <w:t>.</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Adjust mechanical system in existing buildings to comply with new infrastructure.</w:t>
            </w:r>
          </w:p>
          <w:p w:rsidR="00FD7130" w:rsidRPr="008845CA"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 xml:space="preserve">Replace electrical heating to a gas-fired boiler system </w:t>
            </w:r>
            <w:r>
              <w:rPr>
                <w:rFonts w:ascii="Times New Roman" w:hAnsi="Times New Roman" w:cs="Times New Roman"/>
              </w:rPr>
              <w:t>(connect</w:t>
            </w:r>
            <w:r w:rsidRPr="008845CA">
              <w:rPr>
                <w:rFonts w:ascii="Times New Roman" w:hAnsi="Times New Roman" w:cs="Times New Roman"/>
              </w:rPr>
              <w:t xml:space="preserve"> to a future central utility loop at Spivey Hall</w:t>
            </w:r>
            <w:r>
              <w:rPr>
                <w:rFonts w:ascii="Times New Roman" w:hAnsi="Times New Roman" w:cs="Times New Roman"/>
              </w:rPr>
              <w:t>)</w:t>
            </w:r>
            <w:r w:rsidRPr="008845CA">
              <w:rPr>
                <w:rFonts w:ascii="Times New Roman" w:hAnsi="Times New Roman" w:cs="Times New Roman"/>
              </w:rPr>
              <w:t>.</w:t>
            </w:r>
          </w:p>
          <w:p w:rsidR="00FD7130" w:rsidRPr="009C6E29" w:rsidRDefault="00FD7130" w:rsidP="00FD7130">
            <w:pPr>
              <w:pStyle w:val="NoSpacing"/>
              <w:numPr>
                <w:ilvl w:val="0"/>
                <w:numId w:val="7"/>
              </w:numPr>
              <w:jc w:val="both"/>
              <w:rPr>
                <w:rFonts w:ascii="Times New Roman" w:hAnsi="Times New Roman" w:cs="Times New Roman"/>
              </w:rPr>
            </w:pPr>
            <w:r w:rsidRPr="008845CA">
              <w:rPr>
                <w:rFonts w:ascii="Times New Roman" w:hAnsi="Times New Roman" w:cs="Times New Roman"/>
              </w:rPr>
              <w:t>Spivey Hall loading dock lift.</w:t>
            </w:r>
          </w:p>
          <w:p w:rsidR="00FD7130" w:rsidRPr="009C6E29" w:rsidRDefault="00FD7130" w:rsidP="00FD7130">
            <w:pPr>
              <w:pStyle w:val="NoSpacing"/>
              <w:ind w:left="720"/>
              <w:jc w:val="both"/>
              <w:rPr>
                <w:rFonts w:ascii="Times New Roman" w:hAnsi="Times New Roman" w:cs="Times New Roman"/>
              </w:rPr>
            </w:pPr>
          </w:p>
          <w:p w:rsidR="00FD7130" w:rsidRPr="009C6E29" w:rsidRDefault="00FD7130" w:rsidP="00FD7130">
            <w:pPr>
              <w:spacing w:after="200" w:line="276" w:lineRule="auto"/>
              <w:ind w:left="720"/>
              <w:jc w:val="both"/>
              <w:rPr>
                <w:rFonts w:ascii="Times New Roman" w:hAnsi="Times New Roman" w:cs="Times New Roman"/>
                <w:b/>
                <w:sz w:val="24"/>
              </w:rPr>
            </w:pPr>
            <w:r w:rsidRPr="009C6E29">
              <w:rPr>
                <w:rFonts w:ascii="Times New Roman" w:hAnsi="Times New Roman" w:cs="Times New Roman"/>
                <w:b/>
                <w:sz w:val="24"/>
              </w:rPr>
              <w:t>1</w:t>
            </w:r>
            <w:r>
              <w:rPr>
                <w:rFonts w:ascii="Times New Roman" w:hAnsi="Times New Roman" w:cs="Times New Roman"/>
                <w:b/>
                <w:sz w:val="24"/>
              </w:rPr>
              <w:t>D</w:t>
            </w:r>
            <w:r w:rsidRPr="009C6E29">
              <w:rPr>
                <w:rFonts w:ascii="Times New Roman" w:hAnsi="Times New Roman" w:cs="Times New Roman"/>
                <w:b/>
                <w:sz w:val="24"/>
              </w:rPr>
              <w:t xml:space="preserve">. Academic Core </w:t>
            </w:r>
            <w:r>
              <w:rPr>
                <w:rFonts w:ascii="Times New Roman" w:hAnsi="Times New Roman" w:cs="Times New Roman"/>
                <w:b/>
                <w:sz w:val="24"/>
              </w:rPr>
              <w:t>R</w:t>
            </w:r>
            <w:r w:rsidRPr="009C6E29">
              <w:rPr>
                <w:rFonts w:ascii="Times New Roman" w:hAnsi="Times New Roman" w:cs="Times New Roman"/>
                <w:b/>
                <w:sz w:val="24"/>
              </w:rPr>
              <w:t xml:space="preserve">enovation - Roof replacement for Natural &amp; Behavioral Sciences Building: </w:t>
            </w:r>
          </w:p>
          <w:p w:rsidR="00FD7130" w:rsidRPr="009C6E29" w:rsidRDefault="00FD7130" w:rsidP="00FD7130">
            <w:pPr>
              <w:pStyle w:val="NoSpacing"/>
              <w:ind w:left="720"/>
              <w:jc w:val="both"/>
              <w:rPr>
                <w:rFonts w:ascii="Times New Roman" w:hAnsi="Times New Roman" w:cs="Times New Roman"/>
              </w:rPr>
            </w:pPr>
            <w:r w:rsidRPr="009C6E29">
              <w:rPr>
                <w:rFonts w:ascii="Times New Roman" w:hAnsi="Times New Roman" w:cs="Times New Roman"/>
              </w:rPr>
              <w:t xml:space="preserve">The University </w:t>
            </w:r>
            <w:r>
              <w:rPr>
                <w:rFonts w:ascii="Times New Roman" w:hAnsi="Times New Roman" w:cs="Times New Roman"/>
              </w:rPr>
              <w:t>needs to improve</w:t>
            </w:r>
            <w:r w:rsidRPr="009C6E29">
              <w:rPr>
                <w:rFonts w:ascii="Times New Roman" w:hAnsi="Times New Roman" w:cs="Times New Roman"/>
              </w:rPr>
              <w:t xml:space="preserve"> </w:t>
            </w:r>
            <w:r>
              <w:rPr>
                <w:rFonts w:ascii="Times New Roman" w:hAnsi="Times New Roman" w:cs="Times New Roman"/>
              </w:rPr>
              <w:t xml:space="preserve">the </w:t>
            </w:r>
            <w:r w:rsidRPr="009C6E29">
              <w:rPr>
                <w:rFonts w:ascii="Times New Roman" w:hAnsi="Times New Roman" w:cs="Times New Roman"/>
              </w:rPr>
              <w:t>building envelope, insulation, and moisture protection to improve energy savings measures</w:t>
            </w:r>
            <w:r>
              <w:rPr>
                <w:rFonts w:ascii="Times New Roman" w:hAnsi="Times New Roman" w:cs="Times New Roman"/>
              </w:rPr>
              <w:t xml:space="preserve"> and prevent future moisture or air quality issues.</w:t>
            </w:r>
            <w:r w:rsidRPr="009C6E29">
              <w:rPr>
                <w:rFonts w:ascii="Times New Roman" w:hAnsi="Times New Roman" w:cs="Times New Roman"/>
              </w:rPr>
              <w:t xml:space="preserve"> All these measures directly affect energy savings. Roof replacement for Natural &amp; Behavioral Sciences is at the top of the list and is in very poor condition with several leaks causing moisture in building and adding to additional problems with humidity in the building. </w:t>
            </w:r>
          </w:p>
          <w:p w:rsidR="00FD7130" w:rsidRPr="009C6E29" w:rsidRDefault="00FD7130" w:rsidP="00FD7130">
            <w:pPr>
              <w:pStyle w:val="NoSpacing"/>
              <w:ind w:left="720"/>
              <w:jc w:val="both"/>
              <w:rPr>
                <w:rFonts w:ascii="Times New Roman" w:hAnsi="Times New Roman" w:cs="Times New Roman"/>
              </w:rPr>
            </w:pPr>
          </w:p>
          <w:p w:rsidR="00FD7130" w:rsidRPr="009C6E29" w:rsidRDefault="00FD7130" w:rsidP="00FD7130">
            <w:pPr>
              <w:spacing w:after="200"/>
              <w:ind w:left="720"/>
              <w:jc w:val="both"/>
              <w:rPr>
                <w:rFonts w:ascii="Times New Roman" w:hAnsi="Times New Roman" w:cs="Times New Roman"/>
                <w:b/>
                <w:sz w:val="24"/>
                <w:szCs w:val="24"/>
              </w:rPr>
            </w:pPr>
            <w:r w:rsidRPr="009C6E29">
              <w:rPr>
                <w:rFonts w:ascii="Times New Roman" w:hAnsi="Times New Roman" w:cs="Times New Roman"/>
                <w:b/>
                <w:sz w:val="24"/>
                <w:szCs w:val="24"/>
              </w:rPr>
              <w:t>1</w:t>
            </w:r>
            <w:r>
              <w:rPr>
                <w:rFonts w:ascii="Times New Roman" w:hAnsi="Times New Roman" w:cs="Times New Roman"/>
                <w:b/>
                <w:sz w:val="24"/>
                <w:szCs w:val="24"/>
              </w:rPr>
              <w:t>E</w:t>
            </w:r>
            <w:r w:rsidRPr="009C6E29">
              <w:rPr>
                <w:rFonts w:ascii="Times New Roman" w:hAnsi="Times New Roman" w:cs="Times New Roman"/>
                <w:b/>
                <w:sz w:val="24"/>
                <w:szCs w:val="24"/>
              </w:rPr>
              <w:t xml:space="preserve">. Academic Core </w:t>
            </w:r>
            <w:r>
              <w:rPr>
                <w:rFonts w:ascii="Times New Roman" w:hAnsi="Times New Roman" w:cs="Times New Roman"/>
                <w:b/>
                <w:sz w:val="24"/>
                <w:szCs w:val="24"/>
              </w:rPr>
              <w:t>R</w:t>
            </w:r>
            <w:r w:rsidRPr="009C6E29">
              <w:rPr>
                <w:rFonts w:ascii="Times New Roman" w:hAnsi="Times New Roman" w:cs="Times New Roman"/>
                <w:b/>
                <w:sz w:val="24"/>
                <w:szCs w:val="24"/>
              </w:rPr>
              <w:t xml:space="preserve">enovation - Roof replacement and addition of classrooms for Athletics and Health Building: </w:t>
            </w:r>
          </w:p>
          <w:p w:rsidR="00FD7130" w:rsidRPr="009C6E29" w:rsidRDefault="00FD7130" w:rsidP="00FD7130">
            <w:pPr>
              <w:pStyle w:val="NoSpacing"/>
              <w:ind w:left="720"/>
              <w:jc w:val="both"/>
              <w:rPr>
                <w:rFonts w:ascii="Times New Roman" w:hAnsi="Times New Roman" w:cs="Times New Roman"/>
              </w:rPr>
            </w:pPr>
            <w:r w:rsidRPr="009C6E29">
              <w:rPr>
                <w:rFonts w:ascii="Times New Roman" w:hAnsi="Times New Roman" w:cs="Times New Roman"/>
              </w:rPr>
              <w:t>Roof replacement for Athletics and Health building is one of the priorities. In addition to the roof replacement for the Athletics &amp; Health building, two - three academic classrooms will be added within existing building square footage.</w:t>
            </w:r>
          </w:p>
          <w:p w:rsidR="00FD7130" w:rsidRPr="009C6E29" w:rsidRDefault="00FD7130" w:rsidP="00FD7130">
            <w:pPr>
              <w:pStyle w:val="NoSpacing"/>
              <w:ind w:left="720"/>
              <w:jc w:val="both"/>
              <w:rPr>
                <w:rFonts w:ascii="Times New Roman" w:hAnsi="Times New Roman" w:cs="Times New Roman"/>
              </w:rPr>
            </w:pPr>
          </w:p>
          <w:p w:rsidR="00FD7130" w:rsidRPr="00425F1B" w:rsidRDefault="00FD7130" w:rsidP="00FD7130">
            <w:pPr>
              <w:spacing w:after="200" w:line="276" w:lineRule="auto"/>
              <w:ind w:left="720"/>
              <w:jc w:val="both"/>
              <w:rPr>
                <w:rFonts w:ascii="Times New Roman" w:hAnsi="Times New Roman" w:cs="Times New Roman"/>
                <w:b/>
                <w:u w:val="single"/>
              </w:rPr>
            </w:pPr>
            <w:r w:rsidRPr="00425F1B">
              <w:rPr>
                <w:rFonts w:ascii="Times New Roman" w:hAnsi="Times New Roman" w:cs="Times New Roman"/>
                <w:b/>
                <w:u w:val="single"/>
              </w:rPr>
              <w:t xml:space="preserve">Needs </w:t>
            </w:r>
          </w:p>
          <w:p w:rsidR="00FD7130" w:rsidRPr="009C6E29" w:rsidRDefault="00FD7130" w:rsidP="00FD7130">
            <w:pPr>
              <w:pStyle w:val="NoSpacing"/>
              <w:numPr>
                <w:ilvl w:val="0"/>
                <w:numId w:val="7"/>
              </w:numPr>
              <w:jc w:val="both"/>
              <w:rPr>
                <w:rFonts w:ascii="Times New Roman" w:hAnsi="Times New Roman" w:cs="Times New Roman"/>
              </w:rPr>
            </w:pPr>
            <w:r w:rsidRPr="009C6E29">
              <w:rPr>
                <w:rFonts w:ascii="Times New Roman" w:hAnsi="Times New Roman" w:cs="Times New Roman"/>
              </w:rPr>
              <w:t xml:space="preserve">Building Envelope Upgrades: Roof is in very poor condition causing moisture and additional </w:t>
            </w:r>
            <w:r w:rsidRPr="009C6E29">
              <w:rPr>
                <w:rFonts w:ascii="Times New Roman" w:hAnsi="Times New Roman" w:cs="Times New Roman"/>
              </w:rPr>
              <w:lastRenderedPageBreak/>
              <w:t xml:space="preserve">problems with humidity in the building. </w:t>
            </w:r>
            <w:r>
              <w:rPr>
                <w:rFonts w:ascii="Times New Roman" w:hAnsi="Times New Roman" w:cs="Times New Roman"/>
              </w:rPr>
              <w:t xml:space="preserve">We need to prevent air quality problems. </w:t>
            </w:r>
          </w:p>
          <w:p w:rsidR="00FD7130" w:rsidRPr="009C6E29" w:rsidRDefault="00FD7130" w:rsidP="00FD7130">
            <w:pPr>
              <w:pStyle w:val="NoSpacing"/>
              <w:numPr>
                <w:ilvl w:val="0"/>
                <w:numId w:val="7"/>
              </w:numPr>
              <w:jc w:val="both"/>
              <w:rPr>
                <w:rFonts w:ascii="Times New Roman" w:hAnsi="Times New Roman" w:cs="Times New Roman"/>
              </w:rPr>
            </w:pPr>
            <w:r w:rsidRPr="009C6E29">
              <w:rPr>
                <w:rFonts w:ascii="Times New Roman" w:hAnsi="Times New Roman" w:cs="Times New Roman"/>
              </w:rPr>
              <w:t>Provide a better roof to protect recently upgraded basketball court</w:t>
            </w:r>
            <w:r>
              <w:rPr>
                <w:rFonts w:ascii="Times New Roman" w:hAnsi="Times New Roman" w:cs="Times New Roman"/>
              </w:rPr>
              <w:t xml:space="preserve"> and other system improvements</w:t>
            </w:r>
            <w:r w:rsidRPr="009C6E29">
              <w:rPr>
                <w:rFonts w:ascii="Times New Roman" w:hAnsi="Times New Roman" w:cs="Times New Roman"/>
              </w:rPr>
              <w:t>.</w:t>
            </w:r>
          </w:p>
          <w:p w:rsidR="00FD7130" w:rsidRPr="009C6E29" w:rsidRDefault="00FD7130" w:rsidP="00FD7130">
            <w:pPr>
              <w:pStyle w:val="NoSpacing"/>
              <w:numPr>
                <w:ilvl w:val="0"/>
                <w:numId w:val="7"/>
              </w:numPr>
              <w:jc w:val="both"/>
              <w:rPr>
                <w:rFonts w:ascii="Times New Roman" w:hAnsi="Times New Roman" w:cs="Times New Roman"/>
              </w:rPr>
            </w:pPr>
            <w:r w:rsidRPr="009C6E29">
              <w:rPr>
                <w:rFonts w:ascii="Times New Roman" w:hAnsi="Times New Roman" w:cs="Times New Roman"/>
              </w:rPr>
              <w:t>Built-out three academic classrooms.</w:t>
            </w:r>
          </w:p>
          <w:p w:rsidR="00FD7130" w:rsidRPr="009C6E29" w:rsidRDefault="00FD7130" w:rsidP="00FD7130">
            <w:pPr>
              <w:pStyle w:val="NoSpacing"/>
              <w:ind w:left="720"/>
              <w:jc w:val="both"/>
              <w:rPr>
                <w:rFonts w:ascii="Times New Roman" w:hAnsi="Times New Roman" w:cs="Times New Roman"/>
              </w:rPr>
            </w:pPr>
          </w:p>
          <w:p w:rsidR="00FD7130" w:rsidRPr="009C6E29" w:rsidRDefault="00FD7130" w:rsidP="00FD7130">
            <w:pPr>
              <w:spacing w:after="200"/>
              <w:ind w:left="720"/>
              <w:jc w:val="both"/>
              <w:rPr>
                <w:rFonts w:ascii="Times New Roman" w:hAnsi="Times New Roman" w:cs="Times New Roman"/>
                <w:b/>
                <w:sz w:val="24"/>
                <w:szCs w:val="24"/>
              </w:rPr>
            </w:pPr>
            <w:r w:rsidRPr="009C6E29">
              <w:rPr>
                <w:rFonts w:ascii="Times New Roman" w:hAnsi="Times New Roman" w:cs="Times New Roman"/>
                <w:b/>
                <w:sz w:val="24"/>
                <w:szCs w:val="24"/>
              </w:rPr>
              <w:t>1</w:t>
            </w:r>
            <w:r>
              <w:rPr>
                <w:rFonts w:ascii="Times New Roman" w:hAnsi="Times New Roman" w:cs="Times New Roman"/>
                <w:b/>
                <w:sz w:val="24"/>
                <w:szCs w:val="24"/>
              </w:rPr>
              <w:t>F</w:t>
            </w:r>
            <w:r w:rsidRPr="009C6E29">
              <w:rPr>
                <w:rFonts w:ascii="Times New Roman" w:hAnsi="Times New Roman" w:cs="Times New Roman"/>
                <w:b/>
                <w:sz w:val="24"/>
                <w:szCs w:val="24"/>
              </w:rPr>
              <w:t xml:space="preserve">. Academic Core renovation – James M. Baker and Library Roof Access Ladders Installation: </w:t>
            </w:r>
          </w:p>
          <w:p w:rsidR="00FD7130" w:rsidRPr="009C6E29" w:rsidRDefault="00FD7130" w:rsidP="00FD7130">
            <w:pPr>
              <w:pStyle w:val="NoSpacing"/>
              <w:ind w:left="720"/>
              <w:jc w:val="both"/>
              <w:rPr>
                <w:rFonts w:ascii="Times New Roman" w:hAnsi="Times New Roman" w:cs="Times New Roman"/>
              </w:rPr>
            </w:pPr>
            <w:r w:rsidRPr="009C6E29">
              <w:rPr>
                <w:rFonts w:ascii="Times New Roman" w:hAnsi="Times New Roman" w:cs="Times New Roman"/>
              </w:rPr>
              <w:t>The James M. Baker University Center</w:t>
            </w:r>
            <w:r>
              <w:rPr>
                <w:rFonts w:ascii="Times New Roman" w:hAnsi="Times New Roman" w:cs="Times New Roman"/>
              </w:rPr>
              <w:t>’s</w:t>
            </w:r>
            <w:r w:rsidRPr="009C6E29">
              <w:rPr>
                <w:rFonts w:ascii="Times New Roman" w:hAnsi="Times New Roman" w:cs="Times New Roman"/>
              </w:rPr>
              <w:t xml:space="preserve"> original construction did not include access ladders for roof access. Need ladders installed for 19 clerestory system roofs at the University Center and Library buildings to provide safe access for roof maintenance.</w:t>
            </w:r>
          </w:p>
          <w:p w:rsidR="00FD7130" w:rsidRPr="009C6E29" w:rsidRDefault="00FD7130" w:rsidP="00FD7130">
            <w:pPr>
              <w:pStyle w:val="NoSpacing"/>
              <w:ind w:left="720"/>
              <w:jc w:val="both"/>
              <w:rPr>
                <w:rFonts w:ascii="Times New Roman" w:hAnsi="Times New Roman" w:cs="Times New Roman"/>
              </w:rPr>
            </w:pPr>
          </w:p>
          <w:p w:rsidR="00FD7130" w:rsidRPr="00425F1B" w:rsidRDefault="00FD7130" w:rsidP="00FD7130">
            <w:pPr>
              <w:spacing w:after="200" w:line="276" w:lineRule="auto"/>
              <w:ind w:left="720"/>
              <w:jc w:val="both"/>
              <w:rPr>
                <w:rFonts w:ascii="Times New Roman" w:hAnsi="Times New Roman" w:cs="Times New Roman"/>
                <w:b/>
                <w:u w:val="single"/>
              </w:rPr>
            </w:pPr>
            <w:r w:rsidRPr="00425F1B">
              <w:rPr>
                <w:rFonts w:ascii="Times New Roman" w:hAnsi="Times New Roman" w:cs="Times New Roman"/>
                <w:b/>
                <w:u w:val="single"/>
              </w:rPr>
              <w:t xml:space="preserve">Needs </w:t>
            </w:r>
          </w:p>
          <w:p w:rsidR="00FD7130" w:rsidRDefault="00FD7130" w:rsidP="00FD7130">
            <w:pPr>
              <w:pStyle w:val="NoSpacing"/>
              <w:numPr>
                <w:ilvl w:val="0"/>
                <w:numId w:val="7"/>
              </w:numPr>
              <w:jc w:val="both"/>
              <w:rPr>
                <w:rFonts w:ascii="Times New Roman" w:hAnsi="Times New Roman" w:cs="Times New Roman"/>
              </w:rPr>
            </w:pPr>
            <w:r w:rsidRPr="009C6E29">
              <w:rPr>
                <w:rFonts w:ascii="Times New Roman" w:hAnsi="Times New Roman" w:cs="Times New Roman"/>
              </w:rPr>
              <w:t xml:space="preserve">Roof access ladders. </w:t>
            </w:r>
          </w:p>
          <w:p w:rsidR="00FD7130" w:rsidRDefault="00FD7130" w:rsidP="00FD7130">
            <w:pPr>
              <w:pStyle w:val="NoSpacing"/>
              <w:ind w:left="720"/>
              <w:jc w:val="both"/>
              <w:rPr>
                <w:rFonts w:ascii="Times New Roman" w:hAnsi="Times New Roman" w:cs="Times New Roman"/>
              </w:rPr>
            </w:pPr>
          </w:p>
          <w:p w:rsidR="00FD7130" w:rsidRPr="00425F1B" w:rsidRDefault="00FD7130" w:rsidP="00FD7130">
            <w:pPr>
              <w:pStyle w:val="NoSpacing"/>
              <w:numPr>
                <w:ilvl w:val="0"/>
                <w:numId w:val="9"/>
              </w:numPr>
              <w:jc w:val="both"/>
              <w:rPr>
                <w:rFonts w:ascii="Times New Roman" w:hAnsi="Times New Roman" w:cs="Times New Roman"/>
                <w:sz w:val="24"/>
                <w:szCs w:val="24"/>
              </w:rPr>
            </w:pPr>
            <w:r w:rsidRPr="00425F1B">
              <w:rPr>
                <w:rFonts w:ascii="Times New Roman" w:hAnsi="Times New Roman" w:cs="Times New Roman"/>
                <w:b/>
                <w:sz w:val="24"/>
                <w:szCs w:val="24"/>
              </w:rPr>
              <w:t xml:space="preserve">Library System Upgrade: </w:t>
            </w:r>
          </w:p>
          <w:p w:rsidR="00FD7130" w:rsidRPr="00460FB1" w:rsidRDefault="00FD7130" w:rsidP="00FD7130"/>
          <w:p w:rsidR="00FD7130" w:rsidRPr="004463C1" w:rsidRDefault="00FD7130" w:rsidP="00FD7130">
            <w:pPr>
              <w:pStyle w:val="NoSpacing"/>
              <w:ind w:left="720"/>
              <w:rPr>
                <w:rFonts w:ascii="Times New Roman" w:hAnsi="Times New Roman" w:cs="Times New Roman"/>
              </w:rPr>
            </w:pPr>
            <w:r w:rsidRPr="004463C1">
              <w:rPr>
                <w:rFonts w:ascii="Times New Roman" w:hAnsi="Times New Roman" w:cs="Times New Roman"/>
              </w:rPr>
              <w:t xml:space="preserve">Library building is undergoing interior renovation for Library functions. </w:t>
            </w:r>
            <w:r>
              <w:rPr>
                <w:rFonts w:ascii="Times New Roman" w:hAnsi="Times New Roman" w:cs="Times New Roman"/>
              </w:rPr>
              <w:t>O</w:t>
            </w:r>
            <w:r w:rsidRPr="004463C1">
              <w:rPr>
                <w:rFonts w:ascii="Times New Roman" w:hAnsi="Times New Roman" w:cs="Times New Roman"/>
              </w:rPr>
              <w:t>ccupancy load will increase</w:t>
            </w:r>
            <w:r>
              <w:rPr>
                <w:rFonts w:ascii="Times New Roman" w:hAnsi="Times New Roman" w:cs="Times New Roman"/>
              </w:rPr>
              <w:t xml:space="preserve"> by 500</w:t>
            </w:r>
            <w:r w:rsidRPr="004463C1">
              <w:rPr>
                <w:rFonts w:ascii="Times New Roman" w:hAnsi="Times New Roman" w:cs="Times New Roman"/>
              </w:rPr>
              <w:t>, hence, electrical and HVAC systems require upgrade. Air handlers need to be replaced because they are at the end of their life expectancy. Interior space including building envelope improvements, ceiling system and windows/curtain wall upgrade are in the project scope as well.</w:t>
            </w:r>
          </w:p>
          <w:p w:rsidR="00FD7130" w:rsidRPr="004463C1" w:rsidRDefault="00FD7130" w:rsidP="00FD7130">
            <w:pPr>
              <w:pStyle w:val="NoSpacing"/>
              <w:ind w:left="720"/>
              <w:rPr>
                <w:rFonts w:ascii="Times New Roman" w:hAnsi="Times New Roman" w:cs="Times New Roman"/>
              </w:rPr>
            </w:pPr>
          </w:p>
          <w:p w:rsidR="00FD7130" w:rsidRPr="00425F1B" w:rsidRDefault="00FD7130" w:rsidP="00FD7130">
            <w:pPr>
              <w:spacing w:after="200" w:line="276" w:lineRule="auto"/>
              <w:ind w:left="720"/>
              <w:jc w:val="both"/>
              <w:rPr>
                <w:rFonts w:ascii="Times New Roman" w:hAnsi="Times New Roman" w:cs="Times New Roman"/>
                <w:b/>
                <w:u w:val="single"/>
                <w:lang w:eastAsia="x-none"/>
              </w:rPr>
            </w:pPr>
            <w:r w:rsidRPr="00425F1B">
              <w:rPr>
                <w:rFonts w:ascii="Times New Roman" w:hAnsi="Times New Roman" w:cs="Times New Roman"/>
                <w:b/>
                <w:u w:val="single"/>
                <w:lang w:eastAsia="x-none"/>
              </w:rPr>
              <w:t xml:space="preserve">Needs </w:t>
            </w:r>
          </w:p>
          <w:p w:rsidR="00FD7130" w:rsidRPr="004463C1" w:rsidRDefault="00FD7130" w:rsidP="00FD7130">
            <w:pPr>
              <w:pStyle w:val="NoSpacing"/>
              <w:numPr>
                <w:ilvl w:val="0"/>
                <w:numId w:val="7"/>
              </w:numPr>
              <w:jc w:val="both"/>
              <w:rPr>
                <w:rFonts w:ascii="Times New Roman" w:hAnsi="Times New Roman" w:cs="Times New Roman"/>
              </w:rPr>
            </w:pPr>
            <w:r w:rsidRPr="004463C1">
              <w:rPr>
                <w:rFonts w:ascii="Times New Roman" w:hAnsi="Times New Roman" w:cs="Times New Roman"/>
              </w:rPr>
              <w:t xml:space="preserve">Curtain walls and window replacement due to single-pane windows with insufficient R values. </w:t>
            </w:r>
          </w:p>
          <w:p w:rsidR="00FD7130" w:rsidRPr="004463C1" w:rsidRDefault="00FD7130" w:rsidP="00FD7130">
            <w:pPr>
              <w:pStyle w:val="NoSpacing"/>
              <w:numPr>
                <w:ilvl w:val="0"/>
                <w:numId w:val="7"/>
              </w:numPr>
              <w:jc w:val="both"/>
              <w:rPr>
                <w:rFonts w:ascii="Times New Roman" w:hAnsi="Times New Roman" w:cs="Times New Roman"/>
                <w:b/>
              </w:rPr>
            </w:pPr>
            <w:r w:rsidRPr="004463C1">
              <w:rPr>
                <w:rFonts w:ascii="Times New Roman" w:hAnsi="Times New Roman" w:cs="Times New Roman"/>
              </w:rPr>
              <w:t xml:space="preserve">HVAC system, design and controls are 35 years old and not supplying conditioned air adequately to the spaces. Building is set up with six air handlers, one of them is badly leaking, and the remaining are in poor condition. Parts are unavailable with aged equipment. </w:t>
            </w:r>
          </w:p>
          <w:p w:rsidR="00FD7130" w:rsidRPr="004463C1" w:rsidRDefault="00FD7130" w:rsidP="00FD7130">
            <w:pPr>
              <w:pStyle w:val="NoSpacing"/>
              <w:numPr>
                <w:ilvl w:val="0"/>
                <w:numId w:val="7"/>
              </w:numPr>
              <w:jc w:val="both"/>
              <w:rPr>
                <w:rFonts w:ascii="Times New Roman" w:hAnsi="Times New Roman" w:cs="Times New Roman"/>
                <w:b/>
              </w:rPr>
            </w:pPr>
            <w:r w:rsidRPr="004463C1">
              <w:rPr>
                <w:rFonts w:ascii="Times New Roman" w:hAnsi="Times New Roman" w:cs="Times New Roman"/>
              </w:rPr>
              <w:t>Replace 6 air handlers and HVAC duct system.</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 xml:space="preserve">Bring Library space in accordance with SACS requirements. </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Bring the existing building to ADA compliance.</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 xml:space="preserve">Reconfigure old space </w:t>
            </w:r>
            <w:r>
              <w:rPr>
                <w:rFonts w:ascii="Times New Roman" w:hAnsi="Times New Roman" w:cs="Times New Roman"/>
                <w:lang w:eastAsia="x-none"/>
              </w:rPr>
              <w:t xml:space="preserve">(17,000 sq. ft.) </w:t>
            </w:r>
            <w:r w:rsidRPr="004463C1">
              <w:rPr>
                <w:rFonts w:ascii="Times New Roman" w:hAnsi="Times New Roman" w:cs="Times New Roman"/>
                <w:lang w:eastAsia="x-none"/>
              </w:rPr>
              <w:t xml:space="preserve">to be more efficient and support </w:t>
            </w:r>
            <w:r>
              <w:rPr>
                <w:rFonts w:ascii="Times New Roman" w:hAnsi="Times New Roman" w:cs="Times New Roman"/>
                <w:lang w:eastAsia="x-none"/>
              </w:rPr>
              <w:t>all</w:t>
            </w:r>
            <w:r w:rsidRPr="004463C1">
              <w:rPr>
                <w:rFonts w:ascii="Times New Roman" w:hAnsi="Times New Roman" w:cs="Times New Roman"/>
                <w:lang w:eastAsia="x-none"/>
              </w:rPr>
              <w:t xml:space="preserve"> Library functions. </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 xml:space="preserve">Plumbing valves, pipes and fittings </w:t>
            </w:r>
            <w:r>
              <w:rPr>
                <w:rFonts w:ascii="Times New Roman" w:hAnsi="Times New Roman" w:cs="Times New Roman"/>
                <w:lang w:eastAsia="x-none"/>
              </w:rPr>
              <w:t xml:space="preserve">are </w:t>
            </w:r>
            <w:r w:rsidRPr="004463C1">
              <w:rPr>
                <w:rFonts w:ascii="Times New Roman" w:hAnsi="Times New Roman" w:cs="Times New Roman"/>
                <w:lang w:eastAsia="x-none"/>
              </w:rPr>
              <w:t>in poor condition.</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 xml:space="preserve">Electrical system </w:t>
            </w:r>
            <w:r>
              <w:rPr>
                <w:rFonts w:ascii="Times New Roman" w:hAnsi="Times New Roman" w:cs="Times New Roman"/>
                <w:lang w:eastAsia="x-none"/>
              </w:rPr>
              <w:t xml:space="preserve">is </w:t>
            </w:r>
            <w:r w:rsidRPr="004463C1">
              <w:rPr>
                <w:rFonts w:ascii="Times New Roman" w:hAnsi="Times New Roman" w:cs="Times New Roman"/>
                <w:lang w:eastAsia="x-none"/>
              </w:rPr>
              <w:t>in poor condition.</w:t>
            </w:r>
          </w:p>
          <w:p w:rsidR="00FD7130" w:rsidRPr="004463C1"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Upgrade from pneumatic system to DDC controlled.</w:t>
            </w:r>
          </w:p>
          <w:p w:rsidR="00FD7130" w:rsidRDefault="00FD7130" w:rsidP="00FD7130">
            <w:pPr>
              <w:pStyle w:val="NoSpacing"/>
              <w:numPr>
                <w:ilvl w:val="0"/>
                <w:numId w:val="8"/>
              </w:numPr>
              <w:jc w:val="both"/>
              <w:rPr>
                <w:rFonts w:ascii="Times New Roman" w:hAnsi="Times New Roman" w:cs="Times New Roman"/>
                <w:lang w:eastAsia="x-none"/>
              </w:rPr>
            </w:pPr>
            <w:r w:rsidRPr="004463C1">
              <w:rPr>
                <w:rFonts w:ascii="Times New Roman" w:hAnsi="Times New Roman" w:cs="Times New Roman"/>
                <w:lang w:eastAsia="x-none"/>
              </w:rPr>
              <w:t xml:space="preserve">Ceiling system for </w:t>
            </w:r>
            <w:r>
              <w:rPr>
                <w:rFonts w:ascii="Times New Roman" w:hAnsi="Times New Roman" w:cs="Times New Roman"/>
                <w:lang w:eastAsia="x-none"/>
              </w:rPr>
              <w:t>second</w:t>
            </w:r>
            <w:r w:rsidRPr="004463C1">
              <w:rPr>
                <w:rFonts w:ascii="Times New Roman" w:hAnsi="Times New Roman" w:cs="Times New Roman"/>
                <w:lang w:eastAsia="x-none"/>
              </w:rPr>
              <w:t xml:space="preserve"> floor needs </w:t>
            </w:r>
            <w:r>
              <w:rPr>
                <w:rFonts w:ascii="Times New Roman" w:hAnsi="Times New Roman" w:cs="Times New Roman"/>
                <w:lang w:eastAsia="x-none"/>
              </w:rPr>
              <w:t xml:space="preserve">to be </w:t>
            </w:r>
            <w:r w:rsidRPr="004463C1">
              <w:rPr>
                <w:rFonts w:ascii="Times New Roman" w:hAnsi="Times New Roman" w:cs="Times New Roman"/>
                <w:lang w:eastAsia="x-none"/>
              </w:rPr>
              <w:t>replaced.</w:t>
            </w:r>
          </w:p>
          <w:p w:rsidR="00FD7130" w:rsidRDefault="00FD7130" w:rsidP="00FD7130">
            <w:pPr>
              <w:pStyle w:val="NoSpacing"/>
              <w:ind w:left="720"/>
              <w:jc w:val="both"/>
              <w:rPr>
                <w:rFonts w:ascii="Times New Roman" w:hAnsi="Times New Roman" w:cs="Times New Roman"/>
                <w:lang w:eastAsia="x-none"/>
              </w:rPr>
            </w:pPr>
          </w:p>
          <w:p w:rsidR="00FD7130" w:rsidRPr="00425F1B" w:rsidRDefault="00FD7130" w:rsidP="00FD7130">
            <w:pPr>
              <w:pStyle w:val="NoSpacing"/>
              <w:numPr>
                <w:ilvl w:val="0"/>
                <w:numId w:val="9"/>
              </w:numPr>
              <w:jc w:val="both"/>
              <w:rPr>
                <w:rFonts w:ascii="Times New Roman" w:hAnsi="Times New Roman" w:cs="Times New Roman"/>
                <w:b/>
                <w:sz w:val="24"/>
                <w:szCs w:val="24"/>
                <w:lang w:eastAsia="x-none"/>
              </w:rPr>
            </w:pPr>
            <w:r w:rsidRPr="00425F1B">
              <w:rPr>
                <w:rFonts w:ascii="Times New Roman" w:hAnsi="Times New Roman" w:cs="Times New Roman"/>
                <w:b/>
                <w:sz w:val="24"/>
                <w:szCs w:val="24"/>
              </w:rPr>
              <w:t xml:space="preserve">Upgrade IT Infrastructure Campus Wide: </w:t>
            </w:r>
          </w:p>
          <w:p w:rsidR="00FD7130" w:rsidRPr="00460FB1" w:rsidRDefault="00FD7130" w:rsidP="00FD7130"/>
          <w:p w:rsidR="00030365" w:rsidRDefault="00FD7130" w:rsidP="00FD7130">
            <w:pPr>
              <w:autoSpaceDE w:val="0"/>
              <w:autoSpaceDN w:val="0"/>
              <w:adjustRightInd w:val="0"/>
              <w:ind w:left="720"/>
              <w:jc w:val="both"/>
              <w:rPr>
                <w:rFonts w:ascii="Times New Roman" w:hAnsi="Times New Roman" w:cs="Times New Roman"/>
                <w:lang w:eastAsia="x-none"/>
              </w:rPr>
            </w:pPr>
            <w:r w:rsidRPr="004463C1">
              <w:rPr>
                <w:rFonts w:ascii="Times New Roman" w:hAnsi="Times New Roman" w:cs="Times New Roman"/>
                <w:lang w:eastAsia="x-none"/>
              </w:rPr>
              <w:t>IT and Networking support is vita</w:t>
            </w:r>
            <w:r>
              <w:rPr>
                <w:rFonts w:ascii="Times New Roman" w:hAnsi="Times New Roman" w:cs="Times New Roman"/>
                <w:lang w:eastAsia="x-none"/>
              </w:rPr>
              <w:t>l for campus daily operations. The network e</w:t>
            </w:r>
            <w:r w:rsidRPr="004463C1">
              <w:rPr>
                <w:rFonts w:ascii="Times New Roman" w:hAnsi="Times New Roman" w:cs="Times New Roman"/>
                <w:lang w:eastAsia="x-none"/>
              </w:rPr>
              <w:t>quipment supports the operation and infrastructure of the e</w:t>
            </w:r>
            <w:r>
              <w:rPr>
                <w:rFonts w:ascii="Times New Roman" w:hAnsi="Times New Roman" w:cs="Times New Roman"/>
                <w:lang w:eastAsia="x-none"/>
              </w:rPr>
              <w:t xml:space="preserve">ntire campus, all systems, the internet and </w:t>
            </w:r>
            <w:r w:rsidR="00AF5A91">
              <w:rPr>
                <w:rFonts w:ascii="Times New Roman" w:hAnsi="Times New Roman" w:cs="Times New Roman"/>
                <w:lang w:eastAsia="x-none"/>
              </w:rPr>
              <w:t>E</w:t>
            </w:r>
            <w:r w:rsidR="00AF5A91" w:rsidRPr="004463C1">
              <w:rPr>
                <w:rFonts w:ascii="Times New Roman" w:hAnsi="Times New Roman" w:cs="Times New Roman"/>
                <w:lang w:eastAsia="x-none"/>
              </w:rPr>
              <w:t>thernet</w:t>
            </w:r>
            <w:r w:rsidRPr="004463C1">
              <w:rPr>
                <w:rFonts w:ascii="Times New Roman" w:hAnsi="Times New Roman" w:cs="Times New Roman"/>
                <w:lang w:eastAsia="x-none"/>
              </w:rPr>
              <w:t xml:space="preserve"> services for faculty, staff and students, Continuing Education and online programs, as well as satellite </w:t>
            </w:r>
            <w:r>
              <w:rPr>
                <w:rFonts w:ascii="Times New Roman" w:hAnsi="Times New Roman" w:cs="Times New Roman"/>
                <w:lang w:eastAsia="x-none"/>
              </w:rPr>
              <w:t>centers</w:t>
            </w:r>
            <w:r w:rsidRPr="004463C1">
              <w:rPr>
                <w:rFonts w:ascii="Times New Roman" w:hAnsi="Times New Roman" w:cs="Times New Roman"/>
                <w:lang w:eastAsia="x-none"/>
              </w:rPr>
              <w:t xml:space="preserve">. This provides the backbone to run PeopleSoft, Banner, and all other back office functions and operations. </w:t>
            </w:r>
            <w:r w:rsidR="00030365">
              <w:rPr>
                <w:rFonts w:ascii="Times New Roman" w:hAnsi="Times New Roman" w:cs="Times New Roman"/>
                <w:lang w:eastAsia="x-none"/>
              </w:rPr>
              <w:t>This equipment will age out over the next twelve to eighteen months and a</w:t>
            </w:r>
            <w:r>
              <w:rPr>
                <w:rFonts w:ascii="Times New Roman" w:hAnsi="Times New Roman" w:cs="Times New Roman"/>
                <w:lang w:eastAsia="x-none"/>
              </w:rPr>
              <w:t xml:space="preserve"> failure in the University’s networking equipment could result in major operational issues.</w:t>
            </w:r>
          </w:p>
          <w:p w:rsidR="00030365" w:rsidRDefault="00030365" w:rsidP="00FD7130">
            <w:pPr>
              <w:autoSpaceDE w:val="0"/>
              <w:autoSpaceDN w:val="0"/>
              <w:adjustRightInd w:val="0"/>
              <w:ind w:left="720"/>
              <w:jc w:val="both"/>
              <w:rPr>
                <w:rFonts w:ascii="Times New Roman" w:hAnsi="Times New Roman" w:cs="Times New Roman"/>
                <w:lang w:eastAsia="x-none"/>
              </w:rPr>
            </w:pPr>
          </w:p>
          <w:p w:rsidR="00FD7130" w:rsidRPr="004463C1" w:rsidRDefault="00FD7130" w:rsidP="00FD7130">
            <w:pPr>
              <w:autoSpaceDE w:val="0"/>
              <w:autoSpaceDN w:val="0"/>
              <w:adjustRightInd w:val="0"/>
              <w:ind w:left="720"/>
              <w:jc w:val="both"/>
              <w:rPr>
                <w:rFonts w:ascii="Times New Roman" w:hAnsi="Times New Roman" w:cs="Times New Roman"/>
                <w:lang w:eastAsia="x-none"/>
              </w:rPr>
            </w:pPr>
            <w:r w:rsidRPr="004463C1">
              <w:rPr>
                <w:rFonts w:ascii="Times New Roman" w:hAnsi="Times New Roman" w:cs="Times New Roman"/>
                <w:lang w:eastAsia="x-none"/>
              </w:rPr>
              <w:t xml:space="preserve"> </w:t>
            </w:r>
          </w:p>
          <w:p w:rsidR="00FD7130" w:rsidRPr="004463C1" w:rsidRDefault="00FD7130" w:rsidP="00FD7130">
            <w:pPr>
              <w:autoSpaceDE w:val="0"/>
              <w:autoSpaceDN w:val="0"/>
              <w:adjustRightInd w:val="0"/>
              <w:ind w:left="720"/>
              <w:jc w:val="both"/>
              <w:rPr>
                <w:rFonts w:ascii="Times New Roman" w:hAnsi="Times New Roman" w:cs="Times New Roman"/>
                <w:lang w:eastAsia="x-none"/>
              </w:rPr>
            </w:pPr>
          </w:p>
          <w:p w:rsidR="00FD7130" w:rsidRPr="00425F1B" w:rsidRDefault="00FD7130" w:rsidP="00FD7130">
            <w:pPr>
              <w:autoSpaceDE w:val="0"/>
              <w:autoSpaceDN w:val="0"/>
              <w:adjustRightInd w:val="0"/>
              <w:ind w:left="720"/>
              <w:jc w:val="both"/>
              <w:rPr>
                <w:rFonts w:ascii="Times New Roman" w:hAnsi="Times New Roman" w:cs="Times New Roman"/>
                <w:b/>
                <w:u w:val="single"/>
                <w:lang w:eastAsia="x-none"/>
              </w:rPr>
            </w:pPr>
            <w:r w:rsidRPr="00425F1B">
              <w:rPr>
                <w:rFonts w:ascii="Times New Roman" w:hAnsi="Times New Roman" w:cs="Times New Roman"/>
                <w:b/>
                <w:u w:val="single"/>
                <w:lang w:eastAsia="x-none"/>
              </w:rPr>
              <w:lastRenderedPageBreak/>
              <w:t xml:space="preserve">Needs </w:t>
            </w:r>
          </w:p>
          <w:p w:rsidR="00FD7130" w:rsidRPr="004463C1" w:rsidRDefault="00FD7130" w:rsidP="00FD7130">
            <w:pPr>
              <w:autoSpaceDE w:val="0"/>
              <w:autoSpaceDN w:val="0"/>
              <w:adjustRightInd w:val="0"/>
              <w:ind w:left="720"/>
              <w:jc w:val="both"/>
              <w:rPr>
                <w:rFonts w:ascii="Times New Roman" w:hAnsi="Times New Roman" w:cs="Times New Roman"/>
                <w:b/>
                <w:lang w:eastAsia="x-none"/>
              </w:rPr>
            </w:pPr>
          </w:p>
          <w:p w:rsidR="00FD7130" w:rsidRPr="004463C1" w:rsidRDefault="00FD7130" w:rsidP="00FD7130">
            <w:pPr>
              <w:numPr>
                <w:ilvl w:val="0"/>
                <w:numId w:val="7"/>
              </w:numPr>
              <w:autoSpaceDE w:val="0"/>
              <w:autoSpaceDN w:val="0"/>
              <w:adjustRightInd w:val="0"/>
              <w:jc w:val="both"/>
              <w:rPr>
                <w:rFonts w:ascii="Times New Roman" w:hAnsi="Times New Roman" w:cs="Times New Roman"/>
                <w:lang w:eastAsia="x-none"/>
              </w:rPr>
            </w:pPr>
            <w:r w:rsidRPr="004463C1">
              <w:rPr>
                <w:rFonts w:ascii="Times New Roman" w:hAnsi="Times New Roman" w:cs="Times New Roman"/>
                <w:lang w:eastAsia="x-none"/>
              </w:rPr>
              <w:t xml:space="preserve">Replace aging Enterasys equipment, network switches and routers in various buildings on campus. </w:t>
            </w:r>
          </w:p>
          <w:p w:rsidR="00FD7130" w:rsidRPr="00B74EAA" w:rsidRDefault="00FD7130" w:rsidP="00FD7130">
            <w:pPr>
              <w:numPr>
                <w:ilvl w:val="0"/>
                <w:numId w:val="8"/>
              </w:numPr>
              <w:autoSpaceDE w:val="0"/>
              <w:autoSpaceDN w:val="0"/>
              <w:adjustRightInd w:val="0"/>
              <w:jc w:val="both"/>
              <w:rPr>
                <w:rFonts w:ascii="Times New Roman" w:hAnsi="Times New Roman" w:cs="Times New Roman"/>
                <w:b/>
                <w:lang w:eastAsia="x-none"/>
              </w:rPr>
            </w:pPr>
            <w:r w:rsidRPr="004463C1">
              <w:rPr>
                <w:rFonts w:ascii="Times New Roman" w:hAnsi="Times New Roman" w:cs="Times New Roman"/>
                <w:lang w:eastAsia="x-none"/>
              </w:rPr>
              <w:t>Upgrade 7,903 network ports campus wide.</w:t>
            </w:r>
          </w:p>
          <w:p w:rsidR="00B74EAA" w:rsidRDefault="00B74EAA" w:rsidP="00B74EAA">
            <w:pPr>
              <w:autoSpaceDE w:val="0"/>
              <w:autoSpaceDN w:val="0"/>
              <w:adjustRightInd w:val="0"/>
              <w:jc w:val="both"/>
              <w:rPr>
                <w:rFonts w:ascii="Times New Roman" w:hAnsi="Times New Roman" w:cs="Times New Roman"/>
                <w:lang w:eastAsia="x-none"/>
              </w:rPr>
            </w:pPr>
          </w:p>
          <w:p w:rsidR="00FD7130" w:rsidRPr="00425F1B" w:rsidRDefault="00FD7130" w:rsidP="00FD7130">
            <w:pPr>
              <w:pStyle w:val="ListParagraph"/>
              <w:numPr>
                <w:ilvl w:val="0"/>
                <w:numId w:val="9"/>
              </w:numPr>
              <w:autoSpaceDE w:val="0"/>
              <w:autoSpaceDN w:val="0"/>
              <w:adjustRightInd w:val="0"/>
              <w:jc w:val="both"/>
              <w:rPr>
                <w:rFonts w:ascii="Times New Roman" w:hAnsi="Times New Roman" w:cs="Times New Roman"/>
                <w:b/>
                <w:sz w:val="24"/>
                <w:szCs w:val="24"/>
                <w:lang w:eastAsia="x-none"/>
              </w:rPr>
            </w:pPr>
            <w:r w:rsidRPr="00425F1B">
              <w:rPr>
                <w:rFonts w:ascii="Times New Roman" w:hAnsi="Times New Roman" w:cs="Times New Roman"/>
                <w:b/>
                <w:sz w:val="24"/>
                <w:szCs w:val="24"/>
              </w:rPr>
              <w:t>Library Upper Level Renovation</w:t>
            </w:r>
          </w:p>
          <w:p w:rsidR="00FD7130" w:rsidRPr="009C6E29" w:rsidRDefault="00FD7130" w:rsidP="00FD7130">
            <w:pPr>
              <w:spacing w:after="200"/>
              <w:ind w:left="720"/>
              <w:contextualSpacing/>
              <w:jc w:val="both"/>
              <w:rPr>
                <w:rFonts w:ascii="Times New Roman" w:hAnsi="Times New Roman" w:cs="Times New Roman"/>
                <w:b/>
                <w:sz w:val="24"/>
                <w:szCs w:val="24"/>
              </w:rPr>
            </w:pPr>
          </w:p>
          <w:p w:rsidR="00FD7130" w:rsidRDefault="00FD7130" w:rsidP="00FD7130">
            <w:pPr>
              <w:spacing w:after="270" w:line="270" w:lineRule="atLeast"/>
              <w:ind w:left="720"/>
              <w:jc w:val="both"/>
              <w:textAlignment w:val="baseline"/>
              <w:rPr>
                <w:rFonts w:ascii="Times New Roman" w:eastAsia="Times New Roman" w:hAnsi="Times New Roman" w:cs="Times New Roman"/>
              </w:rPr>
            </w:pPr>
            <w:r>
              <w:rPr>
                <w:rFonts w:ascii="Times New Roman" w:eastAsia="Times New Roman" w:hAnsi="Times New Roman" w:cs="Times New Roman"/>
              </w:rPr>
              <w:t>Complete</w:t>
            </w:r>
            <w:r w:rsidRPr="004463C1">
              <w:rPr>
                <w:rFonts w:ascii="Times New Roman" w:eastAsia="Times New Roman" w:hAnsi="Times New Roman" w:cs="Times New Roman"/>
              </w:rPr>
              <w:t xml:space="preserve"> renovation of the Library Upper Level to increase student seating spaces and study areas. The plan is to provide individual and group study rooms along with open collaborative study zones. Upgrade includes expansion of archives and addition of </w:t>
            </w:r>
            <w:r>
              <w:rPr>
                <w:rFonts w:ascii="Times New Roman" w:eastAsia="Times New Roman" w:hAnsi="Times New Roman" w:cs="Times New Roman"/>
              </w:rPr>
              <w:t xml:space="preserve">500 study seats and provision of a small academic </w:t>
            </w:r>
            <w:r w:rsidRPr="004463C1">
              <w:rPr>
                <w:rFonts w:ascii="Times New Roman" w:eastAsia="Times New Roman" w:hAnsi="Times New Roman" w:cs="Times New Roman"/>
              </w:rPr>
              <w:t>exhibit space.</w:t>
            </w:r>
          </w:p>
          <w:p w:rsidR="00FD7130" w:rsidRPr="00425F1B" w:rsidRDefault="00FD7130" w:rsidP="00FD7130">
            <w:pPr>
              <w:pStyle w:val="ListParagraph"/>
              <w:numPr>
                <w:ilvl w:val="0"/>
                <w:numId w:val="9"/>
              </w:numPr>
              <w:spacing w:after="270" w:line="270" w:lineRule="atLeast"/>
              <w:jc w:val="both"/>
              <w:textAlignment w:val="baseline"/>
              <w:rPr>
                <w:rFonts w:ascii="Times New Roman" w:eastAsia="Times New Roman" w:hAnsi="Times New Roman" w:cs="Times New Roman"/>
                <w:b/>
                <w:sz w:val="24"/>
                <w:szCs w:val="24"/>
              </w:rPr>
            </w:pPr>
            <w:r w:rsidRPr="00425F1B">
              <w:rPr>
                <w:rFonts w:ascii="Times New Roman" w:hAnsi="Times New Roman" w:cs="Times New Roman"/>
                <w:b/>
                <w:sz w:val="24"/>
                <w:szCs w:val="24"/>
              </w:rPr>
              <w:t xml:space="preserve">Spivey Hall Renovation: </w:t>
            </w:r>
          </w:p>
          <w:p w:rsidR="00FD7130" w:rsidRPr="004463C1" w:rsidRDefault="00FD7130" w:rsidP="00FD7130">
            <w:pPr>
              <w:autoSpaceDE w:val="0"/>
              <w:autoSpaceDN w:val="0"/>
              <w:adjustRightInd w:val="0"/>
              <w:ind w:left="720"/>
              <w:jc w:val="both"/>
              <w:rPr>
                <w:rFonts w:ascii="Times New Roman" w:hAnsi="Times New Roman" w:cs="Times New Roman"/>
                <w:lang w:eastAsia="x-none"/>
              </w:rPr>
            </w:pPr>
            <w:r w:rsidRPr="004463C1">
              <w:rPr>
                <w:rFonts w:ascii="Times New Roman" w:hAnsi="Times New Roman" w:cs="Times New Roman"/>
                <w:lang w:eastAsia="x-none"/>
              </w:rPr>
              <w:t>Spivey</w:t>
            </w:r>
            <w:r w:rsidRPr="004463C1">
              <w:rPr>
                <w:rFonts w:ascii="Times New Roman" w:hAnsi="Times New Roman" w:cs="Times New Roman"/>
              </w:rPr>
              <w:t xml:space="preserve"> </w:t>
            </w:r>
            <w:r w:rsidRPr="004463C1">
              <w:rPr>
                <w:rFonts w:ascii="Times New Roman" w:hAnsi="Times New Roman" w:cs="Times New Roman"/>
                <w:lang w:eastAsia="x-none"/>
              </w:rPr>
              <w:t>Hall</w:t>
            </w:r>
            <w:r w:rsidRPr="004463C1">
              <w:rPr>
                <w:rFonts w:ascii="Times New Roman" w:hAnsi="Times New Roman" w:cs="Times New Roman"/>
              </w:rPr>
              <w:t xml:space="preserve"> </w:t>
            </w:r>
            <w:r w:rsidRPr="004463C1">
              <w:rPr>
                <w:rFonts w:ascii="Times New Roman" w:hAnsi="Times New Roman" w:cs="Times New Roman"/>
                <w:lang w:eastAsia="x-none"/>
              </w:rPr>
              <w:t xml:space="preserve">is a unique concert venue that contains </w:t>
            </w:r>
            <w:r>
              <w:rPr>
                <w:rFonts w:ascii="Times New Roman" w:hAnsi="Times New Roman" w:cs="Times New Roman"/>
                <w:lang w:eastAsia="x-none"/>
              </w:rPr>
              <w:t xml:space="preserve">the </w:t>
            </w:r>
            <w:r w:rsidRPr="004463C1">
              <w:rPr>
                <w:rFonts w:ascii="Times New Roman" w:hAnsi="Times New Roman" w:cs="Times New Roman"/>
                <w:lang w:eastAsia="x-none"/>
              </w:rPr>
              <w:t>world famous Spivey organ and</w:t>
            </w:r>
            <w:r w:rsidRPr="004463C1">
              <w:rPr>
                <w:rFonts w:ascii="Times New Roman" w:hAnsi="Times New Roman" w:cs="Times New Roman"/>
              </w:rPr>
              <w:t xml:space="preserve"> </w:t>
            </w:r>
            <w:r w:rsidRPr="004463C1">
              <w:rPr>
                <w:rFonts w:ascii="Times New Roman" w:hAnsi="Times New Roman" w:cs="Times New Roman"/>
                <w:lang w:eastAsia="x-none"/>
              </w:rPr>
              <w:t>provides a stage for world renowned artists, support</w:t>
            </w:r>
            <w:r>
              <w:rPr>
                <w:rFonts w:ascii="Times New Roman" w:hAnsi="Times New Roman" w:cs="Times New Roman"/>
                <w:lang w:eastAsia="x-none"/>
              </w:rPr>
              <w:t>s the performing a</w:t>
            </w:r>
            <w:r w:rsidRPr="004463C1">
              <w:rPr>
                <w:rFonts w:ascii="Times New Roman" w:hAnsi="Times New Roman" w:cs="Times New Roman"/>
                <w:lang w:eastAsia="x-none"/>
              </w:rPr>
              <w:t>rts program at Clayton State University, as well as support</w:t>
            </w:r>
            <w:r>
              <w:rPr>
                <w:rFonts w:ascii="Times New Roman" w:hAnsi="Times New Roman" w:cs="Times New Roman"/>
                <w:lang w:eastAsia="x-none"/>
              </w:rPr>
              <w:t>s</w:t>
            </w:r>
            <w:r w:rsidRPr="004463C1">
              <w:rPr>
                <w:rFonts w:ascii="Times New Roman" w:hAnsi="Times New Roman" w:cs="Times New Roman"/>
                <w:lang w:eastAsia="x-none"/>
              </w:rPr>
              <w:t xml:space="preserve"> the campus community engagement program PACE that initiated in 2013. It is imperative to keep facility in </w:t>
            </w:r>
            <w:r>
              <w:rPr>
                <w:rFonts w:ascii="Times New Roman" w:hAnsi="Times New Roman" w:cs="Times New Roman"/>
                <w:lang w:eastAsia="x-none"/>
              </w:rPr>
              <w:t>the right</w:t>
            </w:r>
            <w:r w:rsidRPr="004463C1">
              <w:rPr>
                <w:rFonts w:ascii="Times New Roman" w:hAnsi="Times New Roman" w:cs="Times New Roman"/>
                <w:lang w:eastAsia="x-none"/>
              </w:rPr>
              <w:t xml:space="preserve"> condition.</w:t>
            </w:r>
            <w:r>
              <w:rPr>
                <w:rFonts w:ascii="Times New Roman" w:hAnsi="Times New Roman" w:cs="Times New Roman"/>
                <w:lang w:eastAsia="x-none"/>
              </w:rPr>
              <w:t xml:space="preserve"> </w:t>
            </w:r>
            <w:r w:rsidR="00A17D43">
              <w:rPr>
                <w:rFonts w:ascii="Times New Roman" w:hAnsi="Times New Roman" w:cs="Times New Roman"/>
                <w:lang w:eastAsia="x-none"/>
              </w:rPr>
              <w:t xml:space="preserve">Failure to do so would have a catastrophic impact on several one-of-a-kind instruments. </w:t>
            </w:r>
          </w:p>
          <w:p w:rsidR="00FD7130" w:rsidRPr="004463C1" w:rsidRDefault="00FD7130" w:rsidP="00FD7130">
            <w:pPr>
              <w:autoSpaceDE w:val="0"/>
              <w:autoSpaceDN w:val="0"/>
              <w:adjustRightInd w:val="0"/>
              <w:ind w:left="720"/>
              <w:jc w:val="both"/>
              <w:rPr>
                <w:rFonts w:ascii="Times New Roman" w:hAnsi="Times New Roman" w:cs="Times New Roman"/>
                <w:lang w:eastAsia="x-none"/>
              </w:rPr>
            </w:pPr>
          </w:p>
          <w:p w:rsidR="00FD7130" w:rsidRPr="00425F1B" w:rsidRDefault="00FD7130" w:rsidP="00FD7130">
            <w:pPr>
              <w:autoSpaceDE w:val="0"/>
              <w:autoSpaceDN w:val="0"/>
              <w:adjustRightInd w:val="0"/>
              <w:ind w:left="720"/>
              <w:jc w:val="both"/>
              <w:rPr>
                <w:rFonts w:ascii="Times New Roman" w:hAnsi="Times New Roman" w:cs="Times New Roman"/>
                <w:b/>
                <w:u w:val="single"/>
                <w:lang w:eastAsia="x-none"/>
              </w:rPr>
            </w:pPr>
            <w:r w:rsidRPr="00425F1B">
              <w:rPr>
                <w:rFonts w:ascii="Times New Roman" w:hAnsi="Times New Roman" w:cs="Times New Roman"/>
                <w:b/>
                <w:u w:val="single"/>
                <w:lang w:eastAsia="x-none"/>
              </w:rPr>
              <w:t xml:space="preserve">Needs </w:t>
            </w:r>
          </w:p>
          <w:p w:rsidR="00FD7130" w:rsidRPr="004463C1" w:rsidRDefault="00FD7130" w:rsidP="00FD7130">
            <w:pPr>
              <w:autoSpaceDE w:val="0"/>
              <w:autoSpaceDN w:val="0"/>
              <w:adjustRightInd w:val="0"/>
              <w:ind w:left="720"/>
              <w:jc w:val="both"/>
              <w:rPr>
                <w:rFonts w:ascii="Times New Roman" w:hAnsi="Times New Roman" w:cs="Times New Roman"/>
                <w:b/>
                <w:lang w:eastAsia="x-none"/>
              </w:rPr>
            </w:pPr>
          </w:p>
          <w:p w:rsidR="00FD7130" w:rsidRPr="004463C1" w:rsidRDefault="00FD7130" w:rsidP="00FD7130">
            <w:pPr>
              <w:numPr>
                <w:ilvl w:val="0"/>
                <w:numId w:val="7"/>
              </w:numPr>
              <w:autoSpaceDE w:val="0"/>
              <w:autoSpaceDN w:val="0"/>
              <w:adjustRightInd w:val="0"/>
              <w:jc w:val="both"/>
              <w:rPr>
                <w:rFonts w:ascii="Times New Roman" w:hAnsi="Times New Roman" w:cs="Times New Roman"/>
                <w:lang w:eastAsia="x-none"/>
              </w:rPr>
            </w:pPr>
            <w:r w:rsidRPr="004463C1">
              <w:rPr>
                <w:rFonts w:ascii="Times New Roman" w:hAnsi="Times New Roman" w:cs="Times New Roman"/>
                <w:lang w:eastAsia="x-none"/>
              </w:rPr>
              <w:t xml:space="preserve">Convert utility infrastructure in the building (electrical heating needs converted to a gas-fired boiler system). </w:t>
            </w:r>
          </w:p>
          <w:p w:rsidR="00FD7130" w:rsidRPr="004463C1" w:rsidRDefault="00FD7130" w:rsidP="00FD7130">
            <w:pPr>
              <w:numPr>
                <w:ilvl w:val="0"/>
                <w:numId w:val="7"/>
              </w:numPr>
              <w:autoSpaceDE w:val="0"/>
              <w:autoSpaceDN w:val="0"/>
              <w:adjustRightInd w:val="0"/>
              <w:jc w:val="both"/>
              <w:rPr>
                <w:rFonts w:ascii="Times New Roman" w:hAnsi="Times New Roman" w:cs="Times New Roman"/>
                <w:lang w:eastAsia="x-none"/>
              </w:rPr>
            </w:pPr>
            <w:r w:rsidRPr="004463C1">
              <w:rPr>
                <w:rFonts w:ascii="Times New Roman" w:hAnsi="Times New Roman" w:cs="Times New Roman"/>
                <w:lang w:eastAsia="x-none"/>
              </w:rPr>
              <w:t>Upgrade Energy Management System and controls.</w:t>
            </w:r>
          </w:p>
          <w:p w:rsidR="00FD7130" w:rsidRPr="004463C1" w:rsidRDefault="00FD7130" w:rsidP="00FD7130">
            <w:pPr>
              <w:numPr>
                <w:ilvl w:val="0"/>
                <w:numId w:val="7"/>
              </w:numPr>
              <w:autoSpaceDE w:val="0"/>
              <w:autoSpaceDN w:val="0"/>
              <w:adjustRightInd w:val="0"/>
              <w:jc w:val="both"/>
              <w:rPr>
                <w:rFonts w:ascii="Times New Roman" w:hAnsi="Times New Roman" w:cs="Times New Roman"/>
                <w:lang w:eastAsia="x-none"/>
              </w:rPr>
            </w:pPr>
            <w:r w:rsidRPr="004463C1">
              <w:rPr>
                <w:rFonts w:ascii="Times New Roman" w:hAnsi="Times New Roman" w:cs="Times New Roman"/>
                <w:lang w:eastAsia="x-none"/>
              </w:rPr>
              <w:t>Improve building envelope.</w:t>
            </w:r>
          </w:p>
          <w:p w:rsidR="00FD7130" w:rsidRDefault="00FD7130" w:rsidP="00FD7130">
            <w:pPr>
              <w:numPr>
                <w:ilvl w:val="0"/>
                <w:numId w:val="7"/>
              </w:numPr>
              <w:autoSpaceDE w:val="0"/>
              <w:autoSpaceDN w:val="0"/>
              <w:adjustRightInd w:val="0"/>
              <w:jc w:val="both"/>
              <w:rPr>
                <w:rFonts w:ascii="Times New Roman" w:hAnsi="Times New Roman" w:cs="Times New Roman"/>
                <w:lang w:eastAsia="x-none"/>
              </w:rPr>
            </w:pPr>
            <w:r>
              <w:rPr>
                <w:rFonts w:ascii="Times New Roman" w:hAnsi="Times New Roman" w:cs="Times New Roman"/>
                <w:lang w:eastAsia="x-none"/>
              </w:rPr>
              <w:t>Upgrade interior.</w:t>
            </w:r>
          </w:p>
          <w:p w:rsidR="00FD7130" w:rsidRDefault="00FD7130" w:rsidP="00FD7130">
            <w:pPr>
              <w:autoSpaceDE w:val="0"/>
              <w:autoSpaceDN w:val="0"/>
              <w:adjustRightInd w:val="0"/>
              <w:ind w:left="720"/>
              <w:jc w:val="both"/>
              <w:rPr>
                <w:rFonts w:ascii="Times New Roman" w:hAnsi="Times New Roman" w:cs="Times New Roman"/>
                <w:lang w:eastAsia="x-none"/>
              </w:rPr>
            </w:pPr>
          </w:p>
          <w:p w:rsidR="00FD7130" w:rsidRPr="00425F1B" w:rsidRDefault="00FD7130" w:rsidP="00FD7130">
            <w:pPr>
              <w:pStyle w:val="ListParagraph"/>
              <w:numPr>
                <w:ilvl w:val="0"/>
                <w:numId w:val="9"/>
              </w:numPr>
              <w:autoSpaceDE w:val="0"/>
              <w:autoSpaceDN w:val="0"/>
              <w:adjustRightInd w:val="0"/>
              <w:jc w:val="both"/>
              <w:rPr>
                <w:rFonts w:ascii="Times New Roman" w:hAnsi="Times New Roman" w:cs="Times New Roman"/>
                <w:b/>
                <w:sz w:val="24"/>
                <w:szCs w:val="24"/>
                <w:lang w:eastAsia="x-none"/>
              </w:rPr>
            </w:pPr>
            <w:r w:rsidRPr="00425F1B">
              <w:rPr>
                <w:rFonts w:ascii="Times New Roman" w:hAnsi="Times New Roman" w:cs="Times New Roman"/>
                <w:b/>
                <w:sz w:val="24"/>
                <w:szCs w:val="24"/>
              </w:rPr>
              <w:t>Public Safety</w:t>
            </w:r>
          </w:p>
          <w:p w:rsidR="00FD7130" w:rsidRPr="009C6E29" w:rsidRDefault="00FD7130" w:rsidP="00FD7130">
            <w:pPr>
              <w:spacing w:after="200"/>
              <w:ind w:left="720"/>
              <w:contextualSpacing/>
              <w:jc w:val="both"/>
              <w:rPr>
                <w:rFonts w:ascii="Times New Roman" w:hAnsi="Times New Roman" w:cs="Times New Roman"/>
                <w:b/>
                <w:sz w:val="24"/>
                <w:szCs w:val="24"/>
              </w:rPr>
            </w:pPr>
          </w:p>
          <w:p w:rsidR="00FD7130" w:rsidRPr="004463C1" w:rsidRDefault="007C10EE" w:rsidP="00FD7130">
            <w:pPr>
              <w:spacing w:after="200" w:line="276" w:lineRule="auto"/>
              <w:ind w:left="720"/>
              <w:jc w:val="both"/>
              <w:rPr>
                <w:rFonts w:ascii="Times New Roman" w:hAnsi="Times New Roman" w:cs="Times New Roman"/>
              </w:rPr>
            </w:pPr>
            <w:r>
              <w:rPr>
                <w:rFonts w:ascii="Times New Roman" w:hAnsi="Times New Roman" w:cs="Times New Roman"/>
                <w:b/>
              </w:rPr>
              <w:t>6</w:t>
            </w:r>
            <w:r w:rsidR="00FD7130" w:rsidRPr="004463C1">
              <w:rPr>
                <w:rFonts w:ascii="Times New Roman" w:hAnsi="Times New Roman" w:cs="Times New Roman"/>
                <w:b/>
              </w:rPr>
              <w:t>A</w:t>
            </w:r>
            <w:r w:rsidR="00FD7130" w:rsidRPr="004463C1">
              <w:rPr>
                <w:rFonts w:ascii="Times New Roman" w:hAnsi="Times New Roman" w:cs="Times New Roman"/>
              </w:rPr>
              <w:t xml:space="preserve">. Campus is exploring </w:t>
            </w:r>
            <w:r w:rsidR="00FD7130">
              <w:rPr>
                <w:rFonts w:ascii="Times New Roman" w:hAnsi="Times New Roman" w:cs="Times New Roman"/>
              </w:rPr>
              <w:t>the purchase and renovation of</w:t>
            </w:r>
            <w:r w:rsidR="00FD7130" w:rsidRPr="004463C1">
              <w:rPr>
                <w:rFonts w:ascii="Times New Roman" w:hAnsi="Times New Roman" w:cs="Times New Roman"/>
              </w:rPr>
              <w:t xml:space="preserve"> the Trammell Property adjacent to the East side of the campus for relocation of Public Safety department. </w:t>
            </w:r>
            <w:r w:rsidR="00FD7130">
              <w:rPr>
                <w:rFonts w:ascii="Times New Roman" w:hAnsi="Times New Roman" w:cs="Times New Roman"/>
              </w:rPr>
              <w:t xml:space="preserve">This acquisition would provide a much needed back entrance from campus. All current roads require crossing of a railroad track. </w:t>
            </w:r>
          </w:p>
          <w:p w:rsidR="00FD7130" w:rsidRDefault="007C10EE" w:rsidP="00FD7130">
            <w:pPr>
              <w:spacing w:after="200" w:line="276" w:lineRule="auto"/>
              <w:ind w:left="720"/>
              <w:jc w:val="both"/>
              <w:rPr>
                <w:rFonts w:ascii="Times New Roman" w:hAnsi="Times New Roman" w:cs="Times New Roman"/>
              </w:rPr>
            </w:pPr>
            <w:r>
              <w:rPr>
                <w:rFonts w:ascii="Times New Roman" w:hAnsi="Times New Roman" w:cs="Times New Roman"/>
                <w:b/>
              </w:rPr>
              <w:t>6</w:t>
            </w:r>
            <w:r w:rsidR="00FD7130" w:rsidRPr="004463C1">
              <w:rPr>
                <w:rFonts w:ascii="Times New Roman" w:hAnsi="Times New Roman" w:cs="Times New Roman"/>
                <w:b/>
              </w:rPr>
              <w:t>B.</w:t>
            </w:r>
            <w:r w:rsidR="00FD7130" w:rsidRPr="004463C1">
              <w:rPr>
                <w:rFonts w:ascii="Times New Roman" w:hAnsi="Times New Roman" w:cs="Times New Roman"/>
              </w:rPr>
              <w:t xml:space="preserve"> Explore an option to find a space on campus for expansion or relocation of Public Safety department.</w:t>
            </w:r>
          </w:p>
          <w:p w:rsidR="00B74EAA" w:rsidRPr="00C46C4D" w:rsidRDefault="00B74EAA" w:rsidP="00B74EAA">
            <w:pPr>
              <w:pStyle w:val="ListParagraph"/>
              <w:numPr>
                <w:ilvl w:val="0"/>
                <w:numId w:val="9"/>
              </w:numPr>
              <w:spacing w:after="200" w:line="276" w:lineRule="auto"/>
              <w:jc w:val="both"/>
              <w:rPr>
                <w:rFonts w:ascii="Times New Roman" w:eastAsia="Times New Roman" w:hAnsi="Times New Roman" w:cs="Times New Roman"/>
                <w:b/>
                <w:sz w:val="24"/>
                <w:szCs w:val="24"/>
              </w:rPr>
            </w:pPr>
            <w:r w:rsidRPr="00C46C4D">
              <w:rPr>
                <w:rFonts w:ascii="Times New Roman" w:eastAsia="Times New Roman" w:hAnsi="Times New Roman" w:cs="Times New Roman"/>
                <w:b/>
                <w:sz w:val="24"/>
                <w:szCs w:val="24"/>
              </w:rPr>
              <w:t xml:space="preserve">Advising Center: </w:t>
            </w:r>
          </w:p>
          <w:p w:rsidR="00B74EAA" w:rsidRPr="00C46C4D" w:rsidRDefault="00B74EAA" w:rsidP="00B74EAA">
            <w:pPr>
              <w:autoSpaceDE w:val="0"/>
              <w:autoSpaceDN w:val="0"/>
              <w:adjustRightInd w:val="0"/>
              <w:ind w:left="720"/>
              <w:jc w:val="both"/>
              <w:rPr>
                <w:rFonts w:ascii="Times New Roman" w:hAnsi="Times New Roman" w:cs="Times New Roman"/>
                <w:lang w:eastAsia="x-none"/>
              </w:rPr>
            </w:pPr>
            <w:r w:rsidRPr="00C46C4D">
              <w:rPr>
                <w:rFonts w:ascii="Times New Roman" w:hAnsi="Times New Roman" w:cs="Times New Roman"/>
                <w:lang w:eastAsia="x-none"/>
              </w:rPr>
              <w:t>Clayton State University is using research on student success and the advising model of Georgia State University to develop a centralized advisement center. A centralized advisement center has the data resources and staffing to develop consistent, proactive and date driven advising that increase student retention rates and decrease the time to graduation. An advising ratio of 300:1 is widely adopted as a standard of best practices. Clayton State currently has 14 academic advisors but hopes to hire up to 6 additional advisors in the near future.</w:t>
            </w:r>
          </w:p>
          <w:p w:rsidR="00B74EAA" w:rsidRPr="00C46C4D" w:rsidRDefault="00B74EAA" w:rsidP="00B74EAA">
            <w:pPr>
              <w:autoSpaceDE w:val="0"/>
              <w:autoSpaceDN w:val="0"/>
              <w:adjustRightInd w:val="0"/>
              <w:ind w:left="720"/>
              <w:jc w:val="both"/>
              <w:rPr>
                <w:rFonts w:ascii="Times New Roman" w:hAnsi="Times New Roman" w:cs="Times New Roman"/>
                <w:lang w:eastAsia="x-none"/>
              </w:rPr>
            </w:pPr>
          </w:p>
          <w:p w:rsidR="006B4815" w:rsidRDefault="006B4815" w:rsidP="00B74EAA">
            <w:pPr>
              <w:pStyle w:val="ListParagraph"/>
              <w:spacing w:after="200" w:line="276" w:lineRule="auto"/>
              <w:jc w:val="both"/>
              <w:rPr>
                <w:rFonts w:ascii="Times New Roman" w:eastAsia="Times New Roman" w:hAnsi="Times New Roman" w:cs="Times New Roman"/>
                <w:b/>
                <w:sz w:val="24"/>
                <w:szCs w:val="24"/>
                <w:u w:val="single"/>
              </w:rPr>
            </w:pPr>
          </w:p>
          <w:p w:rsidR="006B4815" w:rsidRDefault="006B4815" w:rsidP="00B74EAA">
            <w:pPr>
              <w:pStyle w:val="ListParagraph"/>
              <w:spacing w:after="200" w:line="276" w:lineRule="auto"/>
              <w:jc w:val="both"/>
              <w:rPr>
                <w:rFonts w:ascii="Times New Roman" w:eastAsia="Times New Roman" w:hAnsi="Times New Roman" w:cs="Times New Roman"/>
                <w:b/>
                <w:sz w:val="24"/>
                <w:szCs w:val="24"/>
                <w:u w:val="single"/>
              </w:rPr>
            </w:pPr>
          </w:p>
          <w:p w:rsidR="00B74EAA" w:rsidRPr="007A4199" w:rsidRDefault="00B74EAA" w:rsidP="00B74EAA">
            <w:pPr>
              <w:pStyle w:val="ListParagraph"/>
              <w:spacing w:after="200" w:line="276" w:lineRule="auto"/>
              <w:jc w:val="both"/>
              <w:rPr>
                <w:rFonts w:ascii="Times New Roman" w:eastAsia="Times New Roman" w:hAnsi="Times New Roman" w:cs="Times New Roman"/>
                <w:b/>
                <w:sz w:val="24"/>
                <w:szCs w:val="24"/>
                <w:u w:val="single"/>
              </w:rPr>
            </w:pPr>
            <w:r w:rsidRPr="007A4199">
              <w:rPr>
                <w:rFonts w:ascii="Times New Roman" w:eastAsia="Times New Roman" w:hAnsi="Times New Roman" w:cs="Times New Roman"/>
                <w:b/>
                <w:sz w:val="24"/>
                <w:szCs w:val="24"/>
                <w:u w:val="single"/>
              </w:rPr>
              <w:t xml:space="preserve">Needs </w:t>
            </w:r>
          </w:p>
          <w:p w:rsidR="00B74EAA" w:rsidRPr="00C46C4D"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 xml:space="preserve">Identify and build out centralized location to start with space for 14 advisors. </w:t>
            </w:r>
          </w:p>
          <w:p w:rsidR="00B74EAA" w:rsidRPr="00C46C4D"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Research options to accommodate more offices for additional hires for advisory center.</w:t>
            </w:r>
          </w:p>
          <w:p w:rsidR="00B74EAA" w:rsidRPr="00C46C4D"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Reception /waiting room area with purpose to display resources.</w:t>
            </w:r>
          </w:p>
          <w:p w:rsidR="00B74EAA" w:rsidRPr="00C46C4D" w:rsidRDefault="00B74EAA" w:rsidP="00B74EAA">
            <w:pPr>
              <w:pStyle w:val="ListParagraph"/>
              <w:spacing w:after="200" w:line="276" w:lineRule="auto"/>
              <w:jc w:val="both"/>
              <w:rPr>
                <w:rFonts w:ascii="Times New Roman" w:eastAsia="Times New Roman" w:hAnsi="Times New Roman" w:cs="Times New Roman"/>
                <w:b/>
                <w:sz w:val="24"/>
                <w:szCs w:val="24"/>
              </w:rPr>
            </w:pPr>
          </w:p>
          <w:p w:rsidR="00B74EAA" w:rsidRPr="00C46C4D" w:rsidRDefault="00B74EAA" w:rsidP="00B74EAA">
            <w:pPr>
              <w:pStyle w:val="ListParagraph"/>
              <w:numPr>
                <w:ilvl w:val="0"/>
                <w:numId w:val="9"/>
              </w:numPr>
              <w:spacing w:after="200" w:line="276" w:lineRule="auto"/>
              <w:jc w:val="both"/>
              <w:rPr>
                <w:rFonts w:ascii="Times New Roman" w:eastAsia="Times New Roman" w:hAnsi="Times New Roman" w:cs="Times New Roman"/>
                <w:b/>
                <w:sz w:val="24"/>
                <w:szCs w:val="24"/>
              </w:rPr>
            </w:pPr>
            <w:r w:rsidRPr="00C46C4D">
              <w:rPr>
                <w:rFonts w:ascii="Times New Roman" w:eastAsia="Times New Roman" w:hAnsi="Times New Roman" w:cs="Times New Roman"/>
                <w:b/>
                <w:sz w:val="24"/>
                <w:szCs w:val="24"/>
              </w:rPr>
              <w:t xml:space="preserve">Fayette Instructional Site Expansion: </w:t>
            </w:r>
          </w:p>
          <w:p w:rsidR="00B74EAA" w:rsidRDefault="00B74EAA" w:rsidP="00B74EAA">
            <w:pPr>
              <w:autoSpaceDE w:val="0"/>
              <w:autoSpaceDN w:val="0"/>
              <w:adjustRightInd w:val="0"/>
              <w:ind w:left="720"/>
              <w:jc w:val="both"/>
              <w:rPr>
                <w:rFonts w:ascii="Times New Roman" w:hAnsi="Times New Roman" w:cs="Times New Roman"/>
                <w:lang w:eastAsia="x-none"/>
              </w:rPr>
            </w:pPr>
            <w:r w:rsidRPr="00C46C4D">
              <w:rPr>
                <w:rFonts w:ascii="Times New Roman" w:hAnsi="Times New Roman" w:cs="Times New Roman"/>
                <w:lang w:eastAsia="x-none"/>
              </w:rPr>
              <w:t>CSU Satellite Instructional Site in Fayette County supports dual enrollment. Currently, total head count 550 (unduplicated) and the program is growing. The existing site consists of 10,900 square feet of instructional and office space cannot support increasing enrollment due to 100% utilization of existing facility at Kedron Office Park location. Classes run from 7:45 am to 10:35 am and from 4:30 pm to 10:00 pm scheduled back to back. The site will start offering afternoon classes between 1:00 pm and 4:00 pm</w:t>
            </w:r>
            <w:r w:rsidR="00E50D7C">
              <w:rPr>
                <w:rFonts w:ascii="Times New Roman" w:hAnsi="Times New Roman" w:cs="Times New Roman"/>
                <w:lang w:eastAsia="x-none"/>
              </w:rPr>
              <w:t>, this will allow for some additional capacity flexibility</w:t>
            </w:r>
            <w:r w:rsidRPr="00C46C4D">
              <w:rPr>
                <w:rFonts w:ascii="Times New Roman" w:hAnsi="Times New Roman" w:cs="Times New Roman"/>
                <w:lang w:eastAsia="x-none"/>
              </w:rPr>
              <w:t xml:space="preserve">, however this </w:t>
            </w:r>
            <w:r w:rsidR="00E50D7C">
              <w:rPr>
                <w:rFonts w:ascii="Times New Roman" w:hAnsi="Times New Roman" w:cs="Times New Roman"/>
                <w:lang w:eastAsia="x-none"/>
              </w:rPr>
              <w:t xml:space="preserve">is an intermediate measure and </w:t>
            </w:r>
            <w:r w:rsidRPr="00C46C4D">
              <w:rPr>
                <w:rFonts w:ascii="Times New Roman" w:hAnsi="Times New Roman" w:cs="Times New Roman"/>
                <w:lang w:eastAsia="x-none"/>
              </w:rPr>
              <w:t xml:space="preserve">will not solve the </w:t>
            </w:r>
            <w:r w:rsidR="00E50D7C">
              <w:rPr>
                <w:rFonts w:ascii="Times New Roman" w:hAnsi="Times New Roman" w:cs="Times New Roman"/>
                <w:lang w:eastAsia="x-none"/>
              </w:rPr>
              <w:t>continuing</w:t>
            </w:r>
            <w:r w:rsidRPr="00C46C4D">
              <w:rPr>
                <w:rFonts w:ascii="Times New Roman" w:hAnsi="Times New Roman" w:cs="Times New Roman"/>
                <w:lang w:eastAsia="x-none"/>
              </w:rPr>
              <w:t xml:space="preserve"> increase in dual enrollment. Some existing spaces have been reconfigured to meet needs for space, such as testing classroom is used for faculty offices; an existing board room is used for classes.</w:t>
            </w:r>
          </w:p>
          <w:p w:rsidR="00E50D7C" w:rsidRPr="00C46C4D" w:rsidRDefault="00E50D7C" w:rsidP="00B74EAA">
            <w:pPr>
              <w:autoSpaceDE w:val="0"/>
              <w:autoSpaceDN w:val="0"/>
              <w:adjustRightInd w:val="0"/>
              <w:ind w:left="720"/>
              <w:jc w:val="both"/>
              <w:rPr>
                <w:rFonts w:ascii="Times New Roman" w:eastAsia="Times New Roman" w:hAnsi="Times New Roman" w:cs="Times New Roman"/>
                <w:b/>
                <w:sz w:val="24"/>
                <w:szCs w:val="24"/>
              </w:rPr>
            </w:pPr>
          </w:p>
          <w:p w:rsidR="00B74EAA" w:rsidRPr="007A4199" w:rsidRDefault="00B74EAA" w:rsidP="00B74EAA">
            <w:pPr>
              <w:pStyle w:val="ListParagraph"/>
              <w:spacing w:after="200" w:line="276" w:lineRule="auto"/>
              <w:jc w:val="both"/>
              <w:rPr>
                <w:rFonts w:ascii="Times New Roman" w:eastAsia="Times New Roman" w:hAnsi="Times New Roman" w:cs="Times New Roman"/>
                <w:b/>
                <w:sz w:val="24"/>
                <w:szCs w:val="24"/>
                <w:u w:val="single"/>
              </w:rPr>
            </w:pPr>
            <w:r w:rsidRPr="007A4199">
              <w:rPr>
                <w:rFonts w:ascii="Times New Roman" w:eastAsia="Times New Roman" w:hAnsi="Times New Roman" w:cs="Times New Roman"/>
                <w:b/>
                <w:sz w:val="24"/>
                <w:szCs w:val="24"/>
                <w:u w:val="single"/>
              </w:rPr>
              <w:t xml:space="preserve">Needs </w:t>
            </w:r>
          </w:p>
          <w:p w:rsidR="00B74EAA" w:rsidRPr="00C46C4D"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Rent of additional space across the hall of existing space on as-is basis (preferable</w:t>
            </w:r>
            <w:r w:rsidRPr="00C46C4D">
              <w:rPr>
                <w:rFonts w:ascii="Times New Roman" w:eastAsia="Times New Roman" w:hAnsi="Times New Roman" w:cs="Times New Roman"/>
                <w:b/>
                <w:sz w:val="24"/>
                <w:szCs w:val="24"/>
              </w:rPr>
              <w:t xml:space="preserve"> </w:t>
            </w:r>
            <w:r w:rsidRPr="00C46C4D">
              <w:rPr>
                <w:rFonts w:ascii="Times New Roman" w:hAnsi="Times New Roman" w:cs="Times New Roman"/>
                <w:lang w:eastAsia="x-none"/>
              </w:rPr>
              <w:t>part of the 10,000 square feet that are vacant and currently available for rent as a bulk space).</w:t>
            </w:r>
          </w:p>
          <w:p w:rsidR="00B74EAA" w:rsidRPr="00C46C4D"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Adopt lounge space to allow seating and studying for students in between classes.</w:t>
            </w:r>
          </w:p>
          <w:p w:rsidR="00B74EAA" w:rsidRDefault="00B74EAA" w:rsidP="00B74EAA">
            <w:pPr>
              <w:numPr>
                <w:ilvl w:val="0"/>
                <w:numId w:val="7"/>
              </w:numPr>
              <w:autoSpaceDE w:val="0"/>
              <w:autoSpaceDN w:val="0"/>
              <w:adjustRightInd w:val="0"/>
              <w:jc w:val="both"/>
              <w:rPr>
                <w:rFonts w:ascii="Times New Roman" w:hAnsi="Times New Roman" w:cs="Times New Roman"/>
                <w:lang w:eastAsia="x-none"/>
              </w:rPr>
            </w:pPr>
            <w:r w:rsidRPr="00C46C4D">
              <w:rPr>
                <w:rFonts w:ascii="Times New Roman" w:hAnsi="Times New Roman" w:cs="Times New Roman"/>
                <w:lang w:eastAsia="x-none"/>
              </w:rPr>
              <w:t>With growing enrollment, there will be need for additional faculty to maintain 20-25 students per instructor ratio.</w:t>
            </w:r>
          </w:p>
          <w:p w:rsidR="00B74EAA" w:rsidRPr="00C46C4D" w:rsidRDefault="00B74EAA" w:rsidP="00B74EAA">
            <w:pPr>
              <w:autoSpaceDE w:val="0"/>
              <w:autoSpaceDN w:val="0"/>
              <w:adjustRightInd w:val="0"/>
              <w:ind w:left="720"/>
              <w:jc w:val="both"/>
              <w:rPr>
                <w:rFonts w:ascii="Times New Roman" w:hAnsi="Times New Roman" w:cs="Times New Roman"/>
                <w:lang w:eastAsia="x-none"/>
              </w:rPr>
            </w:pPr>
          </w:p>
          <w:p w:rsidR="00FD7130" w:rsidRPr="00425F1B" w:rsidRDefault="00FD7130" w:rsidP="00FD7130">
            <w:pPr>
              <w:pStyle w:val="ListParagraph"/>
              <w:numPr>
                <w:ilvl w:val="0"/>
                <w:numId w:val="9"/>
              </w:numPr>
              <w:spacing w:after="200" w:line="276" w:lineRule="auto"/>
              <w:jc w:val="both"/>
              <w:rPr>
                <w:rFonts w:ascii="Times New Roman" w:hAnsi="Times New Roman" w:cs="Times New Roman"/>
                <w:b/>
                <w:sz w:val="24"/>
                <w:szCs w:val="24"/>
              </w:rPr>
            </w:pPr>
            <w:r w:rsidRPr="00425F1B">
              <w:rPr>
                <w:rFonts w:ascii="Times New Roman" w:eastAsia="Times New Roman" w:hAnsi="Times New Roman" w:cs="Times New Roman"/>
                <w:b/>
                <w:sz w:val="24"/>
                <w:szCs w:val="24"/>
              </w:rPr>
              <w:t>Miscellaneous Campus Projects by Facilities Advisory Committee:</w:t>
            </w:r>
          </w:p>
          <w:p w:rsidR="006152F1"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9A</w:t>
            </w:r>
            <w:r w:rsidR="006152F1" w:rsidRPr="004463C1">
              <w:rPr>
                <w:rFonts w:ascii="Times New Roman" w:eastAsia="Times New Roman" w:hAnsi="Times New Roman" w:cs="Times New Roman"/>
              </w:rPr>
              <w:t xml:space="preserve">. </w:t>
            </w:r>
            <w:r w:rsidR="006152F1">
              <w:rPr>
                <w:rFonts w:ascii="Times New Roman" w:eastAsia="Times New Roman" w:hAnsi="Times New Roman" w:cs="Times New Roman"/>
              </w:rPr>
              <w:t xml:space="preserve">Create space for a </w:t>
            </w:r>
            <w:r w:rsidR="006152F1" w:rsidRPr="004463C1">
              <w:rPr>
                <w:rFonts w:ascii="Times New Roman" w:eastAsia="Times New Roman" w:hAnsi="Times New Roman" w:cs="Times New Roman"/>
              </w:rPr>
              <w:t>Center for Justice Studies.</w:t>
            </w:r>
          </w:p>
          <w:p w:rsidR="00FD7130" w:rsidRPr="004463C1"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9B</w:t>
            </w:r>
            <w:r w:rsidR="00FD7130" w:rsidRPr="004463C1">
              <w:rPr>
                <w:rFonts w:ascii="Times New Roman" w:eastAsia="Times New Roman" w:hAnsi="Times New Roman" w:cs="Times New Roman"/>
              </w:rPr>
              <w:t xml:space="preserve">. Counseling Services expansion. </w:t>
            </w:r>
          </w:p>
          <w:p w:rsidR="00FD7130" w:rsidRPr="004463C1"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9C</w:t>
            </w:r>
            <w:r w:rsidR="00FD7130" w:rsidRPr="004463C1">
              <w:rPr>
                <w:rFonts w:ascii="Times New Roman" w:eastAsia="Times New Roman" w:hAnsi="Times New Roman" w:cs="Times New Roman"/>
              </w:rPr>
              <w:t>. Recreation and Wellness – build a field at Sanford and Simpson Drive for expansion of intramural and sport clubs activities.</w:t>
            </w:r>
          </w:p>
          <w:p w:rsidR="00FD7130" w:rsidRPr="004463C1"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9D</w:t>
            </w:r>
            <w:r w:rsidR="00FD7130" w:rsidRPr="004463C1">
              <w:rPr>
                <w:rFonts w:ascii="Times New Roman" w:eastAsia="Times New Roman" w:hAnsi="Times New Roman" w:cs="Times New Roman"/>
              </w:rPr>
              <w:t>. Build or find space for Visitor</w:t>
            </w:r>
            <w:r w:rsidR="00FD7130">
              <w:rPr>
                <w:rFonts w:ascii="Times New Roman" w:eastAsia="Times New Roman" w:hAnsi="Times New Roman" w:cs="Times New Roman"/>
              </w:rPr>
              <w:t>s</w:t>
            </w:r>
            <w:r w:rsidR="00FD7130" w:rsidRPr="004463C1">
              <w:rPr>
                <w:rFonts w:ascii="Times New Roman" w:eastAsia="Times New Roman" w:hAnsi="Times New Roman" w:cs="Times New Roman"/>
              </w:rPr>
              <w:t xml:space="preserve"> and Welcome Center</w:t>
            </w:r>
            <w:r w:rsidR="00FD7130">
              <w:rPr>
                <w:rFonts w:ascii="Times New Roman" w:eastAsia="Times New Roman" w:hAnsi="Times New Roman" w:cs="Times New Roman"/>
              </w:rPr>
              <w:t xml:space="preserve"> for prospective students</w:t>
            </w:r>
            <w:r w:rsidR="00FD7130" w:rsidRPr="004463C1">
              <w:rPr>
                <w:rFonts w:ascii="Times New Roman" w:eastAsia="Times New Roman" w:hAnsi="Times New Roman" w:cs="Times New Roman"/>
              </w:rPr>
              <w:t>.</w:t>
            </w:r>
          </w:p>
          <w:p w:rsidR="00FD7130" w:rsidRPr="004463C1"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9E</w:t>
            </w:r>
            <w:r w:rsidR="00FD7130" w:rsidRPr="004463C1">
              <w:rPr>
                <w:rFonts w:ascii="Times New Roman" w:eastAsia="Times New Roman" w:hAnsi="Times New Roman" w:cs="Times New Roman"/>
                <w:b/>
              </w:rPr>
              <w:t>.</w:t>
            </w:r>
            <w:r w:rsidR="00FD7130" w:rsidRPr="004463C1">
              <w:rPr>
                <w:rFonts w:ascii="Times New Roman" w:eastAsia="Times New Roman" w:hAnsi="Times New Roman" w:cs="Times New Roman"/>
              </w:rPr>
              <w:t xml:space="preserve"> Build Lactation Station.</w:t>
            </w:r>
          </w:p>
          <w:p w:rsidR="00FD7130" w:rsidRDefault="00013618"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9F</w:t>
            </w:r>
            <w:r w:rsidR="00FD7130" w:rsidRPr="004463C1">
              <w:rPr>
                <w:rFonts w:ascii="Times New Roman" w:eastAsia="Times New Roman" w:hAnsi="Times New Roman" w:cs="Times New Roman"/>
                <w:b/>
              </w:rPr>
              <w:t>.</w:t>
            </w:r>
            <w:r w:rsidR="00FD7130" w:rsidRPr="004463C1">
              <w:rPr>
                <w:rFonts w:ascii="Times New Roman" w:eastAsia="Times New Roman" w:hAnsi="Times New Roman" w:cs="Times New Roman"/>
              </w:rPr>
              <w:t xml:space="preserve"> Separate office area from the lobby at UC to provide privacy </w:t>
            </w:r>
            <w:r w:rsidR="00FD7130">
              <w:rPr>
                <w:rFonts w:ascii="Times New Roman" w:eastAsia="Times New Roman" w:hAnsi="Times New Roman" w:cs="Times New Roman"/>
              </w:rPr>
              <w:t>(faculty and students—FERPA)</w:t>
            </w:r>
            <w:r w:rsidR="00FD7130" w:rsidRPr="004463C1">
              <w:rPr>
                <w:rFonts w:ascii="Times New Roman" w:eastAsia="Times New Roman" w:hAnsi="Times New Roman" w:cs="Times New Roman"/>
              </w:rPr>
              <w:t>.</w:t>
            </w:r>
          </w:p>
          <w:p w:rsidR="006B4815" w:rsidRDefault="006B4815" w:rsidP="006B4815">
            <w:pPr>
              <w:spacing w:line="480" w:lineRule="auto"/>
              <w:ind w:left="720"/>
              <w:jc w:val="both"/>
              <w:textAlignment w:val="baseline"/>
              <w:rPr>
                <w:rFonts w:ascii="Times New Roman" w:eastAsia="Times New Roman" w:hAnsi="Times New Roman" w:cs="Times New Roman"/>
              </w:rPr>
            </w:pPr>
            <w:r>
              <w:rPr>
                <w:rFonts w:ascii="Times New Roman" w:eastAsia="Times New Roman" w:hAnsi="Times New Roman" w:cs="Times New Roman"/>
                <w:b/>
              </w:rPr>
              <w:t>9G:</w:t>
            </w:r>
            <w:r>
              <w:rPr>
                <w:rFonts w:ascii="Times New Roman" w:eastAsia="Times New Roman" w:hAnsi="Times New Roman" w:cs="Times New Roman"/>
              </w:rPr>
              <w:t xml:space="preserve"> Update and replace directional signage for entire campus.</w:t>
            </w:r>
          </w:p>
          <w:p w:rsidR="006B4815" w:rsidRDefault="006B4815" w:rsidP="006B4815">
            <w:pPr>
              <w:spacing w:line="480" w:lineRule="auto"/>
              <w:ind w:left="720"/>
              <w:jc w:val="both"/>
              <w:textAlignment w:val="baseline"/>
              <w:rPr>
                <w:rFonts w:ascii="Times New Roman" w:eastAsia="Times New Roman" w:hAnsi="Times New Roman" w:cs="Times New Roman"/>
              </w:rPr>
            </w:pPr>
          </w:p>
          <w:p w:rsidR="00B74EAA" w:rsidRPr="004463C1" w:rsidRDefault="00B74EAA" w:rsidP="00B74EAA">
            <w:pPr>
              <w:ind w:left="720"/>
              <w:jc w:val="both"/>
              <w:textAlignment w:val="baseline"/>
              <w:rPr>
                <w:rFonts w:ascii="Times New Roman" w:eastAsia="Times New Roman" w:hAnsi="Times New Roman" w:cs="Times New Roman"/>
              </w:rPr>
            </w:pPr>
          </w:p>
          <w:tbl>
            <w:tblPr>
              <w:tblW w:w="5325" w:type="dxa"/>
              <w:tblInd w:w="1615" w:type="dxa"/>
              <w:tblLook w:val="04A0" w:firstRow="1" w:lastRow="0" w:firstColumn="1" w:lastColumn="0" w:noHBand="0" w:noVBand="1"/>
            </w:tblPr>
            <w:tblGrid>
              <w:gridCol w:w="3350"/>
              <w:gridCol w:w="1975"/>
            </w:tblGrid>
            <w:tr w:rsidR="00B74EAA" w:rsidRPr="004463C1" w:rsidTr="001B6DAA">
              <w:trPr>
                <w:trHeight w:val="630"/>
              </w:trPr>
              <w:tc>
                <w:tcPr>
                  <w:tcW w:w="3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EAA" w:rsidRPr="004463C1" w:rsidRDefault="006B4815" w:rsidP="001B6DAA">
                  <w:pPr>
                    <w:rPr>
                      <w:rFonts w:ascii="Times New Roman" w:eastAsia="Times New Roman" w:hAnsi="Times New Roman" w:cs="Times New Roman"/>
                      <w:b/>
                      <w:bCs/>
                    </w:rPr>
                  </w:pPr>
                  <w:r>
                    <w:rPr>
                      <w:rFonts w:ascii="Times New Roman" w:eastAsia="Times New Roman" w:hAnsi="Times New Roman" w:cs="Times New Roman"/>
                      <w:b/>
                      <w:bCs/>
                    </w:rPr>
                    <w:lastRenderedPageBreak/>
                    <w:t>C</w:t>
                  </w:r>
                  <w:r w:rsidR="00B74EAA" w:rsidRPr="004463C1">
                    <w:rPr>
                      <w:rFonts w:ascii="Times New Roman" w:eastAsia="Times New Roman" w:hAnsi="Times New Roman" w:cs="Times New Roman"/>
                      <w:b/>
                      <w:bCs/>
                    </w:rPr>
                    <w:t>ampus Miscellaneous Projects</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B74EAA" w:rsidRPr="004463C1" w:rsidRDefault="00B74EAA" w:rsidP="001B6DAA">
                  <w:pPr>
                    <w:jc w:val="both"/>
                    <w:rPr>
                      <w:rFonts w:ascii="Times New Roman" w:eastAsia="Times New Roman" w:hAnsi="Times New Roman" w:cs="Times New Roman"/>
                      <w:b/>
                      <w:bCs/>
                    </w:rPr>
                  </w:pPr>
                  <w:r w:rsidRPr="004463C1">
                    <w:rPr>
                      <w:rFonts w:ascii="Times New Roman" w:eastAsia="Times New Roman" w:hAnsi="Times New Roman" w:cs="Times New Roman"/>
                      <w:b/>
                      <w:bCs/>
                    </w:rPr>
                    <w:t>Cost</w:t>
                  </w:r>
                </w:p>
              </w:tc>
            </w:tr>
            <w:tr w:rsidR="00B74EAA" w:rsidRPr="004463C1" w:rsidTr="001B6DAA">
              <w:trPr>
                <w:trHeight w:val="3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A</w:t>
                  </w:r>
                  <w:r w:rsidR="00B74EAA" w:rsidRPr="004463C1">
                    <w:rPr>
                      <w:rFonts w:ascii="Times New Roman" w:eastAsia="Times New Roman" w:hAnsi="Times New Roman" w:cs="Times New Roman"/>
                    </w:rPr>
                    <w:t>. Center for Justice</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$62,000</w:t>
                  </w:r>
                </w:p>
              </w:tc>
            </w:tr>
            <w:tr w:rsidR="00B74EAA" w:rsidRPr="004463C1" w:rsidTr="001B6DAA">
              <w:trPr>
                <w:trHeight w:val="6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B</w:t>
                  </w:r>
                  <w:r w:rsidR="00B74EAA" w:rsidRPr="004463C1">
                    <w:rPr>
                      <w:rFonts w:ascii="Times New Roman" w:eastAsia="Times New Roman" w:hAnsi="Times New Roman" w:cs="Times New Roman"/>
                    </w:rPr>
                    <w:t>. Counseling Services Expansion</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$46,000</w:t>
                  </w:r>
                </w:p>
              </w:tc>
            </w:tr>
            <w:tr w:rsidR="00B74EAA" w:rsidRPr="004463C1" w:rsidTr="001B6DAA">
              <w:trPr>
                <w:trHeight w:val="3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C</w:t>
                  </w:r>
                  <w:r w:rsidR="00B74EAA" w:rsidRPr="004463C1">
                    <w:rPr>
                      <w:rFonts w:ascii="Times New Roman" w:eastAsia="Times New Roman" w:hAnsi="Times New Roman" w:cs="Times New Roman"/>
                    </w:rPr>
                    <w:t>. Recreation &amp; Wellness</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$630,000</w:t>
                  </w:r>
                </w:p>
              </w:tc>
            </w:tr>
            <w:tr w:rsidR="00B74EAA" w:rsidRPr="004463C1" w:rsidTr="001B6DAA">
              <w:trPr>
                <w:trHeight w:val="300"/>
              </w:trPr>
              <w:tc>
                <w:tcPr>
                  <w:tcW w:w="3350" w:type="dxa"/>
                  <w:tcBorders>
                    <w:top w:val="nil"/>
                    <w:left w:val="single" w:sz="4" w:space="0" w:color="auto"/>
                    <w:bottom w:val="single" w:sz="4" w:space="0" w:color="auto"/>
                    <w:right w:val="single" w:sz="4" w:space="0" w:color="auto"/>
                  </w:tcBorders>
                  <w:shd w:val="clear" w:color="auto" w:fill="auto"/>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D</w:t>
                  </w:r>
                  <w:r w:rsidR="00B74EAA" w:rsidRPr="004463C1">
                    <w:rPr>
                      <w:rFonts w:ascii="Times New Roman" w:eastAsia="Times New Roman" w:hAnsi="Times New Roman" w:cs="Times New Roman"/>
                    </w:rPr>
                    <w:t>. Visitor</w:t>
                  </w:r>
                  <w:r w:rsidR="00B74EAA">
                    <w:rPr>
                      <w:rFonts w:ascii="Times New Roman" w:eastAsia="Times New Roman" w:hAnsi="Times New Roman" w:cs="Times New Roman"/>
                    </w:rPr>
                    <w:t>s</w:t>
                  </w:r>
                  <w:r w:rsidR="00B74EAA" w:rsidRPr="004463C1">
                    <w:rPr>
                      <w:rFonts w:ascii="Times New Roman" w:eastAsia="Times New Roman" w:hAnsi="Times New Roman" w:cs="Times New Roman"/>
                    </w:rPr>
                    <w:t xml:space="preserve"> and Welcome Center</w:t>
                  </w:r>
                </w:p>
              </w:tc>
              <w:tc>
                <w:tcPr>
                  <w:tcW w:w="1975" w:type="dxa"/>
                  <w:tcBorders>
                    <w:top w:val="nil"/>
                    <w:left w:val="nil"/>
                    <w:bottom w:val="single" w:sz="4" w:space="0" w:color="auto"/>
                    <w:right w:val="single" w:sz="4" w:space="0" w:color="auto"/>
                  </w:tcBorders>
                  <w:shd w:val="clear" w:color="auto" w:fill="auto"/>
                  <w:noWrap/>
                </w:tcPr>
                <w:p w:rsidR="00B74EAA" w:rsidRPr="004463C1" w:rsidRDefault="00B74EAA" w:rsidP="001B6DAA">
                  <w:pPr>
                    <w:rPr>
                      <w:rFonts w:ascii="Times New Roman" w:eastAsia="Times New Roman" w:hAnsi="Times New Roman" w:cs="Times New Roman"/>
                    </w:rPr>
                  </w:pPr>
                  <w:r>
                    <w:rPr>
                      <w:rFonts w:ascii="Times New Roman" w:eastAsia="Times New Roman" w:hAnsi="Times New Roman" w:cs="Times New Roman"/>
                    </w:rPr>
                    <w:t>TBD</w:t>
                  </w:r>
                </w:p>
              </w:tc>
            </w:tr>
            <w:tr w:rsidR="00B74EAA" w:rsidRPr="004463C1" w:rsidTr="001B6DAA">
              <w:trPr>
                <w:trHeight w:val="3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E</w:t>
                  </w:r>
                  <w:r w:rsidR="00B74EAA" w:rsidRPr="004463C1">
                    <w:rPr>
                      <w:rFonts w:ascii="Times New Roman" w:eastAsia="Times New Roman" w:hAnsi="Times New Roman" w:cs="Times New Roman"/>
                    </w:rPr>
                    <w:t>. Lactation Station</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$10,000</w:t>
                  </w:r>
                </w:p>
              </w:tc>
            </w:tr>
            <w:tr w:rsidR="00B74EAA" w:rsidRPr="004463C1" w:rsidTr="001B6DAA">
              <w:trPr>
                <w:trHeight w:val="6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013618" w:rsidP="001B6DAA">
                  <w:pPr>
                    <w:rPr>
                      <w:rFonts w:ascii="Times New Roman" w:eastAsia="Times New Roman" w:hAnsi="Times New Roman" w:cs="Times New Roman"/>
                    </w:rPr>
                  </w:pPr>
                  <w:r>
                    <w:rPr>
                      <w:rFonts w:ascii="Times New Roman" w:eastAsia="Times New Roman" w:hAnsi="Times New Roman" w:cs="Times New Roman"/>
                    </w:rPr>
                    <w:t>9</w:t>
                  </w:r>
                  <w:r w:rsidR="00B74EAA">
                    <w:rPr>
                      <w:rFonts w:ascii="Times New Roman" w:eastAsia="Times New Roman" w:hAnsi="Times New Roman" w:cs="Times New Roman"/>
                    </w:rPr>
                    <w:t>F</w:t>
                  </w:r>
                  <w:r w:rsidR="00B74EAA" w:rsidRPr="004463C1">
                    <w:rPr>
                      <w:rFonts w:ascii="Times New Roman" w:eastAsia="Times New Roman" w:hAnsi="Times New Roman" w:cs="Times New Roman"/>
                    </w:rPr>
                    <w:t xml:space="preserve">. Separate office area from the lobby at UC to provide privacy to faculty and </w:t>
                  </w:r>
                  <w:r w:rsidR="00B74EAA">
                    <w:rPr>
                      <w:rFonts w:ascii="Times New Roman" w:eastAsia="Times New Roman" w:hAnsi="Times New Roman" w:cs="Times New Roman"/>
                    </w:rPr>
                    <w:t>students.</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$15,000</w:t>
                  </w:r>
                </w:p>
              </w:tc>
            </w:tr>
            <w:tr w:rsidR="00B74EAA" w:rsidRPr="004463C1" w:rsidTr="001B6DAA">
              <w:trPr>
                <w:trHeight w:val="300"/>
              </w:trPr>
              <w:tc>
                <w:tcPr>
                  <w:tcW w:w="3350" w:type="dxa"/>
                  <w:tcBorders>
                    <w:top w:val="nil"/>
                    <w:left w:val="single" w:sz="4" w:space="0" w:color="auto"/>
                    <w:bottom w:val="single" w:sz="4" w:space="0" w:color="auto"/>
                    <w:right w:val="single" w:sz="4" w:space="0" w:color="auto"/>
                  </w:tcBorders>
                  <w:shd w:val="clear" w:color="auto" w:fill="auto"/>
                  <w:hideMark/>
                </w:tcPr>
                <w:p w:rsidR="00B74EAA" w:rsidRPr="004463C1" w:rsidRDefault="00B74EAA" w:rsidP="001B6DAA">
                  <w:pPr>
                    <w:rPr>
                      <w:rFonts w:ascii="Times New Roman" w:eastAsia="Times New Roman" w:hAnsi="Times New Roman" w:cs="Times New Roman"/>
                    </w:rPr>
                  </w:pPr>
                  <w:r w:rsidRPr="004463C1">
                    <w:rPr>
                      <w:rFonts w:ascii="Times New Roman" w:eastAsia="Times New Roman" w:hAnsi="Times New Roman" w:cs="Times New Roman"/>
                    </w:rPr>
                    <w:t> </w:t>
                  </w:r>
                  <w:r w:rsidR="006B4815">
                    <w:rPr>
                      <w:rFonts w:ascii="Times New Roman" w:eastAsia="Times New Roman" w:hAnsi="Times New Roman" w:cs="Times New Roman"/>
                    </w:rPr>
                    <w:t>9G. Signage</w:t>
                  </w:r>
                </w:p>
              </w:tc>
              <w:tc>
                <w:tcPr>
                  <w:tcW w:w="1975" w:type="dxa"/>
                  <w:tcBorders>
                    <w:top w:val="nil"/>
                    <w:left w:val="nil"/>
                    <w:bottom w:val="single" w:sz="4" w:space="0" w:color="auto"/>
                    <w:right w:val="single" w:sz="4" w:space="0" w:color="auto"/>
                  </w:tcBorders>
                  <w:shd w:val="clear" w:color="auto" w:fill="auto"/>
                  <w:noWrap/>
                  <w:hideMark/>
                </w:tcPr>
                <w:p w:rsidR="00B74EAA" w:rsidRPr="004463C1" w:rsidRDefault="006B4815" w:rsidP="001B6DAA">
                  <w:pPr>
                    <w:rPr>
                      <w:rFonts w:ascii="Times New Roman" w:eastAsia="Times New Roman" w:hAnsi="Times New Roman" w:cs="Times New Roman"/>
                    </w:rPr>
                  </w:pPr>
                  <w:r>
                    <w:rPr>
                      <w:rFonts w:ascii="Times New Roman" w:eastAsia="Times New Roman" w:hAnsi="Times New Roman" w:cs="Times New Roman"/>
                    </w:rPr>
                    <w:t>$50,000</w:t>
                  </w:r>
                </w:p>
              </w:tc>
            </w:tr>
            <w:tr w:rsidR="00B74EAA" w:rsidRPr="004463C1" w:rsidTr="00B74EAA">
              <w:trPr>
                <w:trHeight w:val="315"/>
              </w:trPr>
              <w:tc>
                <w:tcPr>
                  <w:tcW w:w="3350" w:type="dxa"/>
                  <w:tcBorders>
                    <w:top w:val="nil"/>
                    <w:left w:val="single" w:sz="4" w:space="0" w:color="auto"/>
                    <w:bottom w:val="nil"/>
                    <w:right w:val="single" w:sz="4" w:space="0" w:color="auto"/>
                  </w:tcBorders>
                  <w:shd w:val="clear" w:color="auto" w:fill="auto"/>
                  <w:hideMark/>
                </w:tcPr>
                <w:p w:rsidR="00B74EAA" w:rsidRPr="004463C1" w:rsidRDefault="00B74EAA" w:rsidP="001B6DAA">
                  <w:pPr>
                    <w:rPr>
                      <w:rFonts w:ascii="Times New Roman" w:eastAsia="Times New Roman" w:hAnsi="Times New Roman" w:cs="Times New Roman"/>
                      <w:b/>
                      <w:bCs/>
                    </w:rPr>
                  </w:pPr>
                  <w:r w:rsidRPr="004463C1">
                    <w:rPr>
                      <w:rFonts w:ascii="Times New Roman" w:eastAsia="Times New Roman" w:hAnsi="Times New Roman" w:cs="Times New Roman"/>
                      <w:b/>
                      <w:bCs/>
                    </w:rPr>
                    <w:t>Total</w:t>
                  </w:r>
                </w:p>
              </w:tc>
              <w:tc>
                <w:tcPr>
                  <w:tcW w:w="1975" w:type="dxa"/>
                  <w:tcBorders>
                    <w:top w:val="nil"/>
                    <w:left w:val="nil"/>
                    <w:bottom w:val="nil"/>
                    <w:right w:val="single" w:sz="4" w:space="0" w:color="auto"/>
                  </w:tcBorders>
                  <w:shd w:val="clear" w:color="auto" w:fill="auto"/>
                  <w:noWrap/>
                  <w:hideMark/>
                </w:tcPr>
                <w:p w:rsidR="00B74EAA" w:rsidRPr="004463C1" w:rsidRDefault="00B74EAA" w:rsidP="006B4815">
                  <w:pPr>
                    <w:rPr>
                      <w:rFonts w:ascii="Times New Roman" w:eastAsia="Times New Roman" w:hAnsi="Times New Roman" w:cs="Times New Roman"/>
                      <w:b/>
                      <w:bCs/>
                    </w:rPr>
                  </w:pPr>
                  <w:r w:rsidRPr="004463C1">
                    <w:rPr>
                      <w:rFonts w:ascii="Times New Roman" w:eastAsia="Times New Roman" w:hAnsi="Times New Roman" w:cs="Times New Roman"/>
                      <w:b/>
                      <w:bCs/>
                    </w:rPr>
                    <w:t>$</w:t>
                  </w:r>
                  <w:r w:rsidR="006B4815">
                    <w:rPr>
                      <w:rFonts w:ascii="Times New Roman" w:eastAsia="Times New Roman" w:hAnsi="Times New Roman" w:cs="Times New Roman"/>
                      <w:b/>
                      <w:bCs/>
                    </w:rPr>
                    <w:t>813</w:t>
                  </w:r>
                  <w:r w:rsidRPr="004463C1">
                    <w:rPr>
                      <w:rFonts w:ascii="Times New Roman" w:eastAsia="Times New Roman" w:hAnsi="Times New Roman" w:cs="Times New Roman"/>
                      <w:b/>
                      <w:bCs/>
                    </w:rPr>
                    <w:t>,000</w:t>
                  </w:r>
                </w:p>
              </w:tc>
            </w:tr>
            <w:tr w:rsidR="00B74EAA" w:rsidRPr="004463C1" w:rsidTr="001B6DAA">
              <w:trPr>
                <w:trHeight w:val="315"/>
              </w:trPr>
              <w:tc>
                <w:tcPr>
                  <w:tcW w:w="3350" w:type="dxa"/>
                  <w:tcBorders>
                    <w:top w:val="nil"/>
                    <w:left w:val="single" w:sz="4" w:space="0" w:color="auto"/>
                    <w:bottom w:val="single" w:sz="4" w:space="0" w:color="auto"/>
                    <w:right w:val="single" w:sz="4" w:space="0" w:color="auto"/>
                  </w:tcBorders>
                  <w:shd w:val="clear" w:color="auto" w:fill="auto"/>
                </w:tcPr>
                <w:p w:rsidR="00B74EAA" w:rsidRPr="004463C1" w:rsidRDefault="00B74EAA" w:rsidP="001B6DAA">
                  <w:pPr>
                    <w:rPr>
                      <w:rFonts w:ascii="Times New Roman" w:eastAsia="Times New Roman" w:hAnsi="Times New Roman" w:cs="Times New Roman"/>
                      <w:b/>
                      <w:bCs/>
                    </w:rPr>
                  </w:pPr>
                </w:p>
              </w:tc>
              <w:tc>
                <w:tcPr>
                  <w:tcW w:w="1975" w:type="dxa"/>
                  <w:tcBorders>
                    <w:top w:val="nil"/>
                    <w:left w:val="nil"/>
                    <w:bottom w:val="single" w:sz="4" w:space="0" w:color="auto"/>
                    <w:right w:val="single" w:sz="4" w:space="0" w:color="auto"/>
                  </w:tcBorders>
                  <w:shd w:val="clear" w:color="auto" w:fill="auto"/>
                  <w:noWrap/>
                </w:tcPr>
                <w:p w:rsidR="00B74EAA" w:rsidRPr="004463C1" w:rsidRDefault="00B74EAA" w:rsidP="001B6DAA">
                  <w:pPr>
                    <w:rPr>
                      <w:rFonts w:ascii="Times New Roman" w:eastAsia="Times New Roman" w:hAnsi="Times New Roman" w:cs="Times New Roman"/>
                      <w:b/>
                      <w:bCs/>
                    </w:rPr>
                  </w:pPr>
                </w:p>
              </w:tc>
            </w:tr>
          </w:tbl>
          <w:p w:rsidR="00D76A15" w:rsidRDefault="00D76A15" w:rsidP="00EB6AA1">
            <w:pPr>
              <w:pStyle w:val="Default"/>
              <w:jc w:val="both"/>
              <w:rPr>
                <w:color w:val="auto"/>
              </w:rPr>
            </w:pPr>
          </w:p>
        </w:tc>
      </w:tr>
    </w:tbl>
    <w:p w:rsidR="00D76A15" w:rsidRDefault="00D76A15" w:rsidP="00E54937">
      <w:pPr>
        <w:pStyle w:val="Default"/>
        <w:rPr>
          <w:color w:val="auto"/>
        </w:rPr>
      </w:pPr>
    </w:p>
    <w:tbl>
      <w:tblPr>
        <w:tblStyle w:val="TableGrid"/>
        <w:tblW w:w="0" w:type="auto"/>
        <w:tblLook w:val="04A0" w:firstRow="1" w:lastRow="0" w:firstColumn="1" w:lastColumn="0" w:noHBand="0" w:noVBand="1"/>
      </w:tblPr>
      <w:tblGrid>
        <w:gridCol w:w="9576"/>
      </w:tblGrid>
      <w:tr w:rsidR="00BE063D" w:rsidRPr="00A261EA">
        <w:trPr>
          <w:trHeight w:val="395"/>
        </w:trPr>
        <w:tc>
          <w:tcPr>
            <w:tcW w:w="9576" w:type="dxa"/>
          </w:tcPr>
          <w:p w:rsidR="00BE063D" w:rsidRPr="00A800E3" w:rsidRDefault="00BE063D" w:rsidP="00EB6AA1">
            <w:pPr>
              <w:pStyle w:val="Default"/>
              <w:jc w:val="center"/>
              <w:rPr>
                <w:b/>
                <w:color w:val="auto"/>
                <w:sz w:val="32"/>
                <w:szCs w:val="32"/>
              </w:rPr>
            </w:pPr>
            <w:r w:rsidRPr="00A800E3">
              <w:rPr>
                <w:b/>
                <w:color w:val="auto"/>
                <w:sz w:val="32"/>
                <w:szCs w:val="32"/>
              </w:rPr>
              <w:t xml:space="preserve">Part </w:t>
            </w:r>
            <w:r>
              <w:rPr>
                <w:b/>
                <w:color w:val="auto"/>
                <w:sz w:val="32"/>
                <w:szCs w:val="32"/>
              </w:rPr>
              <w:t>VII</w:t>
            </w:r>
            <w:r w:rsidRPr="00A800E3">
              <w:rPr>
                <w:b/>
                <w:color w:val="auto"/>
                <w:sz w:val="32"/>
                <w:szCs w:val="32"/>
              </w:rPr>
              <w:t xml:space="preserve">:  </w:t>
            </w:r>
            <w:r>
              <w:rPr>
                <w:b/>
                <w:color w:val="auto"/>
                <w:sz w:val="32"/>
                <w:szCs w:val="32"/>
              </w:rPr>
              <w:t>Academics</w:t>
            </w:r>
          </w:p>
        </w:tc>
      </w:tr>
      <w:tr w:rsidR="00BE063D" w:rsidRPr="00AC5C61">
        <w:tc>
          <w:tcPr>
            <w:tcW w:w="9576" w:type="dxa"/>
          </w:tcPr>
          <w:p w:rsidR="00BE063D" w:rsidRPr="00FE2E98" w:rsidRDefault="00FE2E98" w:rsidP="002650B7">
            <w:pPr>
              <w:pStyle w:val="Default"/>
              <w:numPr>
                <w:ilvl w:val="0"/>
                <w:numId w:val="1"/>
              </w:numPr>
              <w:jc w:val="both"/>
              <w:rPr>
                <w:color w:val="auto"/>
              </w:rPr>
            </w:pPr>
            <w:r w:rsidRPr="00FE2E98">
              <w:rPr>
                <w:color w:val="000000" w:themeColor="text1"/>
              </w:rPr>
              <w:t>Discuss new academic programs under consideration</w:t>
            </w:r>
            <w:r>
              <w:rPr>
                <w:color w:val="000000" w:themeColor="text1"/>
              </w:rPr>
              <w:t xml:space="preserve"> for startup in FY 20</w:t>
            </w:r>
            <w:r w:rsidRPr="00FE2E98">
              <w:rPr>
                <w:color w:val="000000" w:themeColor="text1"/>
              </w:rPr>
              <w:t>1</w:t>
            </w:r>
            <w:r w:rsidR="00836AD2">
              <w:rPr>
                <w:color w:val="000000" w:themeColor="text1"/>
              </w:rPr>
              <w:t>6</w:t>
            </w:r>
            <w:r w:rsidRPr="00FE2E98">
              <w:rPr>
                <w:color w:val="000000" w:themeColor="text1"/>
              </w:rPr>
              <w:t>.  How do the proposed programs line up with the goals of the System</w:t>
            </w:r>
            <w:r w:rsidR="002650B7">
              <w:rPr>
                <w:color w:val="000000" w:themeColor="text1"/>
              </w:rPr>
              <w:t xml:space="preserve">, the region </w:t>
            </w:r>
            <w:r w:rsidRPr="00FE2E98">
              <w:rPr>
                <w:color w:val="000000" w:themeColor="text1"/>
              </w:rPr>
              <w:t xml:space="preserve">and the State?  How </w:t>
            </w:r>
            <w:r w:rsidR="00320580">
              <w:rPr>
                <w:color w:val="000000" w:themeColor="text1"/>
              </w:rPr>
              <w:t>were</w:t>
            </w:r>
            <w:r w:rsidRPr="00FE2E98">
              <w:rPr>
                <w:color w:val="000000" w:themeColor="text1"/>
              </w:rPr>
              <w:t xml:space="preserve"> the need</w:t>
            </w:r>
            <w:r w:rsidR="00320580">
              <w:rPr>
                <w:color w:val="000000" w:themeColor="text1"/>
              </w:rPr>
              <w:t>s</w:t>
            </w:r>
            <w:r w:rsidRPr="00FE2E98">
              <w:rPr>
                <w:color w:val="000000" w:themeColor="text1"/>
              </w:rPr>
              <w:t xml:space="preserve"> for the program</w:t>
            </w:r>
            <w:r w:rsidR="00320580">
              <w:rPr>
                <w:color w:val="000000" w:themeColor="text1"/>
              </w:rPr>
              <w:t xml:space="preserve">s </w:t>
            </w:r>
            <w:r w:rsidRPr="00FE2E98">
              <w:rPr>
                <w:color w:val="000000" w:themeColor="text1"/>
              </w:rPr>
              <w:t>and the program budget</w:t>
            </w:r>
            <w:r w:rsidR="00320580">
              <w:rPr>
                <w:color w:val="000000" w:themeColor="text1"/>
              </w:rPr>
              <w:t>s</w:t>
            </w:r>
            <w:r w:rsidRPr="00FE2E98">
              <w:rPr>
                <w:color w:val="000000" w:themeColor="text1"/>
              </w:rPr>
              <w:t xml:space="preserve"> determined? </w:t>
            </w:r>
          </w:p>
        </w:tc>
      </w:tr>
      <w:tr w:rsidR="00BE063D" w:rsidRPr="00F321C6">
        <w:trPr>
          <w:trHeight w:val="1430"/>
        </w:trPr>
        <w:tc>
          <w:tcPr>
            <w:tcW w:w="9576" w:type="dxa"/>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Work Force Needs and System Priorities</w:t>
            </w:r>
          </w:p>
          <w:p w:rsidR="00B00A27" w:rsidRPr="00B00A27" w:rsidRDefault="00B00A27" w:rsidP="00B00A27">
            <w:pPr>
              <w:jc w:val="both"/>
              <w:rPr>
                <w:rFonts w:ascii="Times New Roman" w:hAnsi="Times New Roman" w:cs="Times New Roman"/>
              </w:rPr>
            </w:pPr>
          </w:p>
          <w:p w:rsidR="001B6DAA" w:rsidRPr="001B6DAA" w:rsidRDefault="001B6DAA" w:rsidP="001B6DAA">
            <w:pPr>
              <w:jc w:val="both"/>
              <w:rPr>
                <w:rFonts w:ascii="Times New Roman" w:hAnsi="Times New Roman" w:cs="Times New Roman"/>
              </w:rPr>
            </w:pPr>
            <w:r w:rsidRPr="001B6DAA">
              <w:rPr>
                <w:rFonts w:ascii="Times New Roman" w:hAnsi="Times New Roman" w:cs="Times New Roman"/>
              </w:rPr>
              <w:t xml:space="preserve">Clayton State is proactively addressing state workforce demands through academic program development in the areas of film and entertainment, healthcare, information technology, and supply chain management and logistics. </w:t>
            </w:r>
          </w:p>
          <w:p w:rsidR="001B6DAA" w:rsidRDefault="001B6DAA" w:rsidP="00B00A27">
            <w:pPr>
              <w:ind w:right="-24"/>
              <w:jc w:val="both"/>
              <w:rPr>
                <w:rFonts w:ascii="Times New Roman" w:hAnsi="Times New Roman" w:cs="Times New Roman"/>
              </w:rPr>
            </w:pPr>
          </w:p>
          <w:p w:rsidR="00B00A27" w:rsidRPr="00B00A27" w:rsidRDefault="00B00A27" w:rsidP="00B00A27">
            <w:pPr>
              <w:ind w:right="-24"/>
              <w:jc w:val="both"/>
              <w:rPr>
                <w:rFonts w:ascii="Times New Roman" w:hAnsi="Times New Roman" w:cs="Times New Roman"/>
              </w:rPr>
            </w:pPr>
            <w:r w:rsidRPr="00B00A27">
              <w:rPr>
                <w:rFonts w:ascii="Times New Roman" w:hAnsi="Times New Roman" w:cs="Times New Roman"/>
              </w:rPr>
              <w:t>Clayton State University will propose a Bachelor of Science degree in Health Sciences (BSHS) to provide students with skills needed to succeed in a variety of non-clinical health related careers. The program is interdisciplinary in nature to provide students with a solid foundation for nonclinical positions in a range of private and public sector organizations.  The curriculum provides students with a strong health science knowledge base and emphasizes community health education and health needs assessment.  Students will gain skills in research, healthcare delivery, health promotion, disease prevention and management, and ethical, legal, and cultural issues related to the health field. Examples of employment areas include medical information technology, health care administration, health care education, geriatric care, and social policy program areas, and healthcare specialized social workers and counselors. The program includes the following concentrations:</w:t>
            </w:r>
          </w:p>
          <w:p w:rsidR="00B00A27" w:rsidRPr="00B00A27" w:rsidRDefault="00B00A27" w:rsidP="00B00A27">
            <w:pPr>
              <w:pStyle w:val="ListParagraph"/>
              <w:numPr>
                <w:ilvl w:val="0"/>
                <w:numId w:val="10"/>
              </w:numPr>
              <w:contextualSpacing w:val="0"/>
              <w:jc w:val="both"/>
              <w:rPr>
                <w:rFonts w:ascii="Times New Roman" w:hAnsi="Times New Roman" w:cs="Times New Roman"/>
                <w:color w:val="000000"/>
              </w:rPr>
            </w:pPr>
            <w:r w:rsidRPr="00B00A27">
              <w:rPr>
                <w:rFonts w:ascii="Times New Roman" w:hAnsi="Times New Roman" w:cs="Times New Roman"/>
                <w:color w:val="000000"/>
              </w:rPr>
              <w:t>Addiction and Prevention</w:t>
            </w:r>
          </w:p>
          <w:p w:rsidR="00B00A27" w:rsidRPr="00B00A27" w:rsidRDefault="00B00A27" w:rsidP="00B00A27">
            <w:pPr>
              <w:pStyle w:val="ListParagraph"/>
              <w:numPr>
                <w:ilvl w:val="0"/>
                <w:numId w:val="10"/>
              </w:numPr>
              <w:contextualSpacing w:val="0"/>
              <w:jc w:val="both"/>
              <w:rPr>
                <w:rFonts w:ascii="Times New Roman" w:hAnsi="Times New Roman" w:cs="Times New Roman"/>
                <w:color w:val="000000"/>
              </w:rPr>
            </w:pPr>
            <w:r w:rsidRPr="00B00A27">
              <w:rPr>
                <w:rFonts w:ascii="Times New Roman" w:hAnsi="Times New Roman" w:cs="Times New Roman"/>
                <w:color w:val="000000"/>
              </w:rPr>
              <w:t xml:space="preserve">Health Education </w:t>
            </w:r>
          </w:p>
          <w:p w:rsidR="00B00A27" w:rsidRPr="00B00A27" w:rsidRDefault="00B00A27" w:rsidP="00B00A27">
            <w:pPr>
              <w:pStyle w:val="ListParagraph"/>
              <w:numPr>
                <w:ilvl w:val="0"/>
                <w:numId w:val="10"/>
              </w:numPr>
              <w:contextualSpacing w:val="0"/>
              <w:jc w:val="both"/>
              <w:rPr>
                <w:rFonts w:ascii="Times New Roman" w:hAnsi="Times New Roman" w:cs="Times New Roman"/>
                <w:color w:val="000000"/>
              </w:rPr>
            </w:pPr>
            <w:r w:rsidRPr="00B00A27">
              <w:rPr>
                <w:rFonts w:ascii="Times New Roman" w:hAnsi="Times New Roman" w:cs="Times New Roman"/>
                <w:bCs/>
                <w:color w:val="000000"/>
              </w:rPr>
              <w:t xml:space="preserve">Public Health and Policy </w:t>
            </w:r>
          </w:p>
          <w:p w:rsidR="00B00A27" w:rsidRPr="00B00A27" w:rsidRDefault="00B00A27" w:rsidP="00B00A27">
            <w:pPr>
              <w:pStyle w:val="ListParagraph"/>
              <w:numPr>
                <w:ilvl w:val="0"/>
                <w:numId w:val="10"/>
              </w:numPr>
              <w:contextualSpacing w:val="0"/>
              <w:jc w:val="both"/>
              <w:rPr>
                <w:rFonts w:ascii="Times New Roman" w:hAnsi="Times New Roman" w:cs="Times New Roman"/>
                <w:color w:val="000000"/>
              </w:rPr>
            </w:pPr>
            <w:r w:rsidRPr="00B00A27">
              <w:rPr>
                <w:rFonts w:ascii="Times New Roman" w:hAnsi="Times New Roman" w:cs="Times New Roman"/>
              </w:rPr>
              <w:t xml:space="preserve">Gerontology and Long Term Care </w:t>
            </w:r>
          </w:p>
          <w:p w:rsidR="00B00A27" w:rsidRPr="00B00A27" w:rsidRDefault="00B00A27" w:rsidP="00B00A27">
            <w:pPr>
              <w:pStyle w:val="ListParagraph"/>
              <w:numPr>
                <w:ilvl w:val="0"/>
                <w:numId w:val="10"/>
              </w:numPr>
              <w:ind w:right="-24"/>
              <w:contextualSpacing w:val="0"/>
              <w:jc w:val="both"/>
              <w:rPr>
                <w:rFonts w:ascii="Times New Roman" w:hAnsi="Times New Roman" w:cs="Times New Roman"/>
              </w:rPr>
            </w:pPr>
            <w:r w:rsidRPr="00B00A27">
              <w:rPr>
                <w:rFonts w:ascii="Times New Roman" w:hAnsi="Times New Roman" w:cs="Times New Roman"/>
              </w:rPr>
              <w:t>General Health</w:t>
            </w:r>
          </w:p>
          <w:p w:rsidR="00B00A27" w:rsidRPr="00B00A27" w:rsidRDefault="00B00A27" w:rsidP="00B00A27">
            <w:pPr>
              <w:ind w:right="-24"/>
              <w:jc w:val="both"/>
              <w:rPr>
                <w:rFonts w:ascii="Times New Roman" w:hAnsi="Times New Roman" w:cs="Times New Roman"/>
                <w:color w:val="000000"/>
              </w:rPr>
            </w:pPr>
          </w:p>
          <w:p w:rsidR="00B00A27" w:rsidRPr="00B00A27" w:rsidRDefault="00B00A27" w:rsidP="00B00A27">
            <w:pPr>
              <w:ind w:right="-24"/>
              <w:jc w:val="both"/>
              <w:rPr>
                <w:rFonts w:ascii="Times New Roman" w:hAnsi="Times New Roman" w:cs="Times New Roman"/>
                <w:color w:val="000000"/>
              </w:rPr>
            </w:pPr>
            <w:r w:rsidRPr="00B00A27">
              <w:rPr>
                <w:rFonts w:ascii="Times New Roman" w:hAnsi="Times New Roman" w:cs="Times New Roman"/>
                <w:color w:val="000000"/>
              </w:rPr>
              <w:t xml:space="preserve">Life sciences and healthcare are key industry focus areas for both Georgia and metro Atlanta economic development.  The demand for entry and mid-level health science professionals is driven by a growing aging population and recent legislative reform to the health care system.  </w:t>
            </w:r>
          </w:p>
          <w:p w:rsidR="00B00A27" w:rsidRPr="00B00A27" w:rsidRDefault="00B00A27" w:rsidP="00B00A27">
            <w:pPr>
              <w:ind w:right="-24"/>
              <w:jc w:val="both"/>
              <w:rPr>
                <w:rFonts w:ascii="Times New Roman" w:hAnsi="Times New Roman" w:cs="Times New Roman"/>
                <w:color w:val="000000"/>
              </w:rPr>
            </w:pPr>
          </w:p>
          <w:p w:rsidR="00B00A27" w:rsidRPr="00B00A27" w:rsidRDefault="00B00A27" w:rsidP="00B00A27">
            <w:pPr>
              <w:ind w:right="-24"/>
              <w:jc w:val="both"/>
              <w:rPr>
                <w:rFonts w:ascii="Times New Roman" w:hAnsi="Times New Roman" w:cs="Times New Roman"/>
                <w:color w:val="000000"/>
              </w:rPr>
            </w:pPr>
            <w:r w:rsidRPr="00B00A27">
              <w:rPr>
                <w:rFonts w:ascii="Times New Roman" w:hAnsi="Times New Roman" w:cs="Times New Roman"/>
                <w:color w:val="000000"/>
              </w:rPr>
              <w:t xml:space="preserve">This program will also address an area of concern identified in Clayton State’s FY15 Budget Narrative, </w:t>
            </w:r>
            <w:r w:rsidRPr="00B00A27">
              <w:rPr>
                <w:rFonts w:ascii="Times New Roman" w:hAnsi="Times New Roman" w:cs="Times New Roman"/>
              </w:rPr>
              <w:t xml:space="preserve">the so-called bottleneck created by high demand programs.  </w:t>
            </w:r>
            <w:r w:rsidRPr="00B00A27">
              <w:rPr>
                <w:rFonts w:ascii="Times New Roman" w:hAnsi="Times New Roman" w:cs="Times New Roman"/>
                <w:color w:val="000000"/>
              </w:rPr>
              <w:t xml:space="preserve">The proposed Health Sciences degree offers </w:t>
            </w:r>
            <w:r w:rsidRPr="00B00A27">
              <w:rPr>
                <w:rFonts w:ascii="Times New Roman" w:hAnsi="Times New Roman" w:cs="Times New Roman"/>
                <w:color w:val="000000"/>
              </w:rPr>
              <w:lastRenderedPageBreak/>
              <w:t xml:space="preserve">an alternative for students who are not accepted into the highly selective Nursing and Dental Hygiene programs or who, due to other commitments, cannot meet the scheduling demands of the nursing program. </w:t>
            </w:r>
          </w:p>
          <w:p w:rsidR="00B00A27" w:rsidRPr="00B00A27" w:rsidRDefault="00B00A27" w:rsidP="00B00A27">
            <w:pPr>
              <w:jc w:val="both"/>
              <w:rPr>
                <w:rFonts w:ascii="Times New Roman" w:hAnsi="Times New Roman" w:cs="Times New Roman"/>
              </w:rPr>
            </w:pPr>
          </w:p>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 xml:space="preserve">Film: Georgia has emerged as one of the top 5 movie production destinations in the country. In FY 2013 alone, television networks, Hollywood studios, production companies and independent producers invested more than $3.3 billion in Georgia. The state offers film, television and digital entertainment tax credits of up to 30% and access to large and experienced crew base and production resources. As many as 333 productions have been shot in the state in 2012.  In response to this industry growth and the corresponding Board of Regents request to develop programs supporting the burgeoning film industry in Georgia, Clayton State is developing a number of new programs.  </w:t>
            </w:r>
          </w:p>
          <w:p w:rsidR="00B00A27" w:rsidRPr="00B00A27" w:rsidRDefault="00B00A27" w:rsidP="00B00A27">
            <w:pPr>
              <w:jc w:val="both"/>
              <w:rPr>
                <w:rFonts w:ascii="Times New Roman" w:hAnsi="Times New Roman" w:cs="Times New Roman"/>
              </w:rPr>
            </w:pPr>
          </w:p>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 xml:space="preserve">CSU has recently established Continuing Education programs in Film and Digital Media and has added a Film Production Concentration to its Bachelor of Applied Science degree.  The </w:t>
            </w:r>
            <w:r>
              <w:rPr>
                <w:rFonts w:ascii="Times New Roman" w:hAnsi="Times New Roman" w:cs="Times New Roman"/>
              </w:rPr>
              <w:t>U</w:t>
            </w:r>
            <w:r w:rsidRPr="00B00A27">
              <w:rPr>
                <w:rFonts w:ascii="Times New Roman" w:hAnsi="Times New Roman" w:cs="Times New Roman"/>
              </w:rPr>
              <w:t>niversity’s department of Visual and Performing Arts is developing a Bachelor of Arts in Film Production, with four potential concentrations:</w:t>
            </w:r>
          </w:p>
          <w:p w:rsidR="00B00A27" w:rsidRPr="00B00A27" w:rsidRDefault="00B00A27" w:rsidP="00B00A27">
            <w:pPr>
              <w:ind w:left="720"/>
              <w:jc w:val="both"/>
              <w:rPr>
                <w:rFonts w:ascii="Times New Roman" w:hAnsi="Times New Roman" w:cs="Times New Roman"/>
              </w:rPr>
            </w:pPr>
            <w:r w:rsidRPr="00B00A27">
              <w:rPr>
                <w:rFonts w:ascii="Times New Roman" w:hAnsi="Times New Roman" w:cs="Times New Roman"/>
                <w:i/>
              </w:rPr>
              <w:t>Post-Production</w:t>
            </w:r>
            <w:r w:rsidRPr="00B00A27">
              <w:rPr>
                <w:rFonts w:ascii="Times New Roman" w:hAnsi="Times New Roman" w:cs="Times New Roman"/>
              </w:rPr>
              <w:t xml:space="preserve">: the processing of the film after shooting has occurred including compositing, editing, storytelling, special effects, motion graphics, and sound.  </w:t>
            </w:r>
          </w:p>
          <w:p w:rsidR="00B00A27" w:rsidRPr="00B00A27" w:rsidRDefault="00B00A27" w:rsidP="00B00A27">
            <w:pPr>
              <w:ind w:left="720"/>
              <w:jc w:val="both"/>
              <w:rPr>
                <w:rFonts w:ascii="Times New Roman" w:hAnsi="Times New Roman" w:cs="Times New Roman"/>
              </w:rPr>
            </w:pPr>
            <w:r w:rsidRPr="00B00A27">
              <w:rPr>
                <w:rFonts w:ascii="Times New Roman" w:hAnsi="Times New Roman" w:cs="Times New Roman"/>
                <w:i/>
              </w:rPr>
              <w:t>New Media</w:t>
            </w:r>
            <w:r w:rsidRPr="00B00A27">
              <w:rPr>
                <w:rFonts w:ascii="Times New Roman" w:hAnsi="Times New Roman" w:cs="Times New Roman"/>
              </w:rPr>
              <w:t xml:space="preserve">: This area includes the study and use of digital communication and entertainment programs and devices. </w:t>
            </w:r>
          </w:p>
          <w:p w:rsidR="00B00A27" w:rsidRPr="00B00A27" w:rsidRDefault="00B00A27" w:rsidP="00B00A27">
            <w:pPr>
              <w:ind w:left="720"/>
              <w:jc w:val="both"/>
              <w:rPr>
                <w:rFonts w:ascii="Times New Roman" w:hAnsi="Times New Roman" w:cs="Times New Roman"/>
              </w:rPr>
            </w:pPr>
            <w:r w:rsidRPr="00B00A27">
              <w:rPr>
                <w:rFonts w:ascii="Times New Roman" w:hAnsi="Times New Roman" w:cs="Times New Roman"/>
                <w:i/>
              </w:rPr>
              <w:t>Pre-Production</w:t>
            </w:r>
            <w:r w:rsidRPr="00B00A27">
              <w:rPr>
                <w:rFonts w:ascii="Times New Roman" w:hAnsi="Times New Roman" w:cs="Times New Roman"/>
              </w:rPr>
              <w:t>: This aspect of the film production process involves preparation for shooting the film. It involves many business functions, such as: finance, accounting, planning, scheduling, hiring and site location and artistic endeavors such as storyboarding and set construction.</w:t>
            </w:r>
          </w:p>
          <w:p w:rsidR="00B00A27" w:rsidRPr="00B00A27" w:rsidRDefault="00B00A27" w:rsidP="00B00A27">
            <w:pPr>
              <w:ind w:left="720"/>
              <w:jc w:val="both"/>
              <w:rPr>
                <w:rFonts w:ascii="Times New Roman" w:hAnsi="Times New Roman" w:cs="Times New Roman"/>
              </w:rPr>
            </w:pPr>
            <w:r w:rsidRPr="00B00A27">
              <w:rPr>
                <w:rFonts w:ascii="Times New Roman" w:hAnsi="Times New Roman" w:cs="Times New Roman"/>
                <w:i/>
              </w:rPr>
              <w:t>Entrepreneurship</w:t>
            </w:r>
            <w:r w:rsidRPr="00B00A27">
              <w:rPr>
                <w:rFonts w:ascii="Times New Roman" w:hAnsi="Times New Roman" w:cs="Times New Roman"/>
              </w:rPr>
              <w:t xml:space="preserve">: This concentration would provide individuals with a sufficient background in (the film) business to prepare them to creatively develop ideas resulting in a new (and successful) business. </w:t>
            </w:r>
          </w:p>
          <w:p w:rsidR="00B00A27" w:rsidRPr="00B00A27" w:rsidRDefault="00B00A27" w:rsidP="00B00A27">
            <w:pPr>
              <w:jc w:val="both"/>
              <w:rPr>
                <w:rFonts w:ascii="Times New Roman" w:hAnsi="Times New Roman" w:cs="Times New Roman"/>
              </w:rPr>
            </w:pPr>
          </w:p>
          <w:p w:rsidR="001B6DAA" w:rsidRDefault="001B6DAA" w:rsidP="001B6DAA">
            <w:pPr>
              <w:jc w:val="both"/>
              <w:rPr>
                <w:rFonts w:ascii="Times New Roman" w:hAnsi="Times New Roman" w:cs="Times New Roman"/>
              </w:rPr>
            </w:pPr>
            <w:r w:rsidRPr="00B00A27">
              <w:rPr>
                <w:rFonts w:ascii="Times New Roman" w:hAnsi="Times New Roman" w:cs="Times New Roman"/>
              </w:rPr>
              <w:t xml:space="preserve">Clayton State University’s College of Business intends to offer a Bachelor of Business Administration Degree in </w:t>
            </w:r>
            <w:r>
              <w:rPr>
                <w:rFonts w:ascii="Times New Roman" w:hAnsi="Times New Roman" w:cs="Times New Roman"/>
              </w:rPr>
              <w:t xml:space="preserve">Film </w:t>
            </w:r>
            <w:r w:rsidRPr="00B00A27">
              <w:rPr>
                <w:rFonts w:ascii="Times New Roman" w:hAnsi="Times New Roman" w:cs="Times New Roman"/>
              </w:rPr>
              <w:t xml:space="preserve">and Entertainment Management This degree would prepare graduates for careers in a variety of burgeoning industries in Georgia, ranging from film production, promotion of musical concerts and theatrical performances, and promotion and management of spectator sporting events such as boxing, wrestling and rodeos.  </w:t>
            </w:r>
          </w:p>
          <w:p w:rsidR="001B6DAA" w:rsidRDefault="001B6DAA" w:rsidP="001B6DAA">
            <w:pPr>
              <w:jc w:val="both"/>
              <w:rPr>
                <w:rFonts w:ascii="Times New Roman" w:hAnsi="Times New Roman" w:cs="Times New Roman"/>
              </w:rPr>
            </w:pPr>
          </w:p>
          <w:p w:rsidR="001B6DAA" w:rsidRDefault="001B6DAA" w:rsidP="001B6DAA">
            <w:pPr>
              <w:jc w:val="both"/>
              <w:rPr>
                <w:rFonts w:ascii="Times New Roman" w:hAnsi="Times New Roman" w:cs="Times New Roman"/>
              </w:rPr>
            </w:pPr>
            <w:r>
              <w:rPr>
                <w:rFonts w:ascii="Times New Roman" w:hAnsi="Times New Roman" w:cs="Times New Roman"/>
              </w:rPr>
              <w:t>The College of Business is also responding to the economic development need for Logistics and Supply Chain Management degree program by preparing to offer it online beginning in Fall 2015. This will increase the geographic availability of the program while also meeting the needs of working adults.</w:t>
            </w:r>
          </w:p>
          <w:p w:rsidR="000A6C7F" w:rsidRDefault="000A6C7F" w:rsidP="001B6DAA">
            <w:pPr>
              <w:jc w:val="both"/>
              <w:rPr>
                <w:rFonts w:ascii="Times New Roman" w:hAnsi="Times New Roman" w:cs="Times New Roman"/>
              </w:rPr>
            </w:pPr>
          </w:p>
          <w:p w:rsidR="000A6C7F" w:rsidRDefault="000A6C7F" w:rsidP="001B6DAA">
            <w:pPr>
              <w:jc w:val="both"/>
              <w:rPr>
                <w:rFonts w:ascii="Times New Roman" w:hAnsi="Times New Roman" w:cs="Times New Roman"/>
              </w:rPr>
            </w:pPr>
            <w:r>
              <w:rPr>
                <w:rFonts w:ascii="Times New Roman" w:hAnsi="Times New Roman" w:cs="Times New Roman"/>
              </w:rPr>
              <w:t>The College of Business is also responding to the economic development need for Logistics and Supply Chain Management degree program by preparing to offer it online beginning in Fall 2015. This will increase the geographic availability of the program while also meeting the needs of working adults.</w:t>
            </w:r>
          </w:p>
          <w:p w:rsidR="00B00A27" w:rsidRPr="00B00A27" w:rsidRDefault="00B00A27" w:rsidP="00B00A27">
            <w:pPr>
              <w:jc w:val="both"/>
              <w:rPr>
                <w:rFonts w:ascii="Times New Roman" w:hAnsi="Times New Roman" w:cs="Times New Roman"/>
              </w:rPr>
            </w:pPr>
          </w:p>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Other Emerging Needs</w:t>
            </w:r>
          </w:p>
          <w:p w:rsidR="00B00A27" w:rsidRPr="00B00A27" w:rsidRDefault="00B00A27" w:rsidP="00B00A27">
            <w:pPr>
              <w:jc w:val="both"/>
              <w:rPr>
                <w:rFonts w:ascii="Times New Roman" w:hAnsi="Times New Roman" w:cs="Times New Roman"/>
              </w:rPr>
            </w:pPr>
          </w:p>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 xml:space="preserve">Although our prospectus for a Master of Arts degree in Digital Rhetoric and Applied Writing (DRAW) was initially denied, after further clarifying conversations, BOR Academic Affairs staff have asked that we resubmit. This degree is designed to offer advanced training in writing so students have marketable skills for professional contexts. It is also designed for professionals who want to develop their professional writing skills and guide others in developing effective writing and writing projects in academic, professional, and community settings. Finally, it will serve as a preparatory degree for PhD-level work in rhetoric, writing, communication studies, media studies, or technical communication.  Development efforts also continue on a Master of Science in Biology to meet growing occupational </w:t>
            </w:r>
            <w:r w:rsidRPr="00B00A27">
              <w:rPr>
                <w:rFonts w:ascii="Times New Roman" w:hAnsi="Times New Roman" w:cs="Times New Roman"/>
              </w:rPr>
              <w:lastRenderedPageBreak/>
              <w:t xml:space="preserve">demand, in response from the Department of Labor and Statistics indicating that between 2010 and 2020 Biomedical Sciences will be one of the fastest growing jobs in the US and in Georgia.   The Department of Natural Sciences Faculty has the expertise to sponsor the program with the majority pursuing laboratory research related to biomedical sciences and mentoring undergraduate research projects that result in the production of scholarly works.  Additionally, in 2015 Clayton State University will open its new science building which will contain 8 new research labs and 8 new teaching labs to support its existing undergraduate degrees in Biology and Chemistry and its future graduate degree programs.  </w:t>
            </w:r>
          </w:p>
          <w:p w:rsidR="007F0FF0" w:rsidRPr="00C2224D" w:rsidRDefault="007F0FF0" w:rsidP="00C2224D"/>
        </w:tc>
      </w:tr>
    </w:tbl>
    <w:p w:rsidR="00BE063D" w:rsidRPr="00F321C6" w:rsidRDefault="00BE063D"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F321C6" w:rsidRPr="00F321C6">
        <w:tc>
          <w:tcPr>
            <w:tcW w:w="9576" w:type="dxa"/>
          </w:tcPr>
          <w:p w:rsidR="00F321C6" w:rsidRPr="008906D3" w:rsidRDefault="008906D3" w:rsidP="00EB6AA1">
            <w:pPr>
              <w:pStyle w:val="Default"/>
              <w:numPr>
                <w:ilvl w:val="0"/>
                <w:numId w:val="1"/>
              </w:numPr>
              <w:jc w:val="both"/>
              <w:rPr>
                <w:color w:val="auto"/>
              </w:rPr>
            </w:pPr>
            <w:r w:rsidRPr="008906D3">
              <w:rPr>
                <w:color w:val="000000" w:themeColor="text1"/>
              </w:rPr>
              <w:t xml:space="preserve">What are your short-term and long-term plans for addressing </w:t>
            </w:r>
            <w:r w:rsidR="0045573A" w:rsidRPr="008906D3">
              <w:rPr>
                <w:color w:val="000000" w:themeColor="text1"/>
              </w:rPr>
              <w:t>low producing programs</w:t>
            </w:r>
            <w:r w:rsidR="0045573A">
              <w:rPr>
                <w:color w:val="000000" w:themeColor="text1"/>
              </w:rPr>
              <w:t xml:space="preserve"> identified at your institution</w:t>
            </w:r>
            <w:r w:rsidRPr="008906D3">
              <w:rPr>
                <w:color w:val="000000" w:themeColor="text1"/>
              </w:rPr>
              <w:t>?   What are the financial implications of your plans?</w:t>
            </w:r>
            <w:r w:rsidR="0045573A">
              <w:rPr>
                <w:color w:val="000000" w:themeColor="text1"/>
              </w:rPr>
              <w:t xml:space="preserve">  Will savings be achieved?  Will tenured faculty be impacted?</w:t>
            </w:r>
          </w:p>
        </w:tc>
      </w:tr>
      <w:tr w:rsidR="00F321C6">
        <w:tc>
          <w:tcPr>
            <w:tcW w:w="9576" w:type="dxa"/>
          </w:tcPr>
          <w:p w:rsidR="00B00A27" w:rsidRPr="00B00A27" w:rsidRDefault="00B00A27" w:rsidP="00B00A27">
            <w:pPr>
              <w:jc w:val="both"/>
              <w:rPr>
                <w:rFonts w:ascii="Times New Roman" w:hAnsi="Times New Roman" w:cs="Times New Roman"/>
                <w:color w:val="000000" w:themeColor="text1"/>
              </w:rPr>
            </w:pPr>
            <w:r w:rsidRPr="00B00A27">
              <w:rPr>
                <w:rFonts w:ascii="Times New Roman" w:hAnsi="Times New Roman" w:cs="Times New Roman"/>
                <w:color w:val="000000" w:themeColor="text1"/>
              </w:rPr>
              <w:t xml:space="preserve">Bachelor of Science with a major in Legal Studies- The identification of this program as low-producing is accurate, but the program only began producing majors in the last three years (the first student to declare it as a major did so in Fall 2008).  It has been over 10 graduates per year for the last two years: 30 graduates in the last 5 years; average 6.00 graduates per year.  It has a strong number of majors (FA14 = 109 BS).  An additional consideration is that the same faculty teach in the Paralegal AAS and Certificate programs, which has many more students (FA14 = 21 AAS &amp; 47 Certificate).  Legal Studies faculty also provide necessary instructional support for our Bachelor of Applied Science, Criminal Justice, and Homeland Security/Emergency Management programs.  During AY15, Professor Sheryne Southard will serve as the instructor for four sections (12 hours) of TECH 3115 “Legal Issues in Administrative and Technology Management” to support the BAS program.  Professor Mara Mooney will serve as the instructor for 2 sections (6 credit hours) of HSEM 4700 “Legal Issues in Homeland Security” in support of both the CRJU and HSEM programs.  Professor Antoinette France-Harris will serve as the instructor for CRJU 4420/SOCI 4800 “Law and Society” in support of the programs in CRJU and SOCI.  She will ultimately also rotate in sections of CRJU 3410 “Criminal Law and Procedure,” a required course in the Criminal Justice major that is presently taught by part-time faculty.  During the years tracked in this report, we have had only three full-time faculty in this program; because of the work-load issues cited above, it was necessary to hire a fourth faculty member. </w:t>
            </w:r>
          </w:p>
          <w:p w:rsidR="00B00A27" w:rsidRPr="00B00A27" w:rsidRDefault="00B00A27" w:rsidP="00B00A27">
            <w:pPr>
              <w:jc w:val="both"/>
              <w:rPr>
                <w:rFonts w:ascii="Times New Roman" w:hAnsi="Times New Roman" w:cs="Times New Roman"/>
                <w:color w:val="000000" w:themeColor="text1"/>
              </w:rPr>
            </w:pPr>
          </w:p>
          <w:p w:rsidR="00B00A27" w:rsidRDefault="00B00A27" w:rsidP="00B00A27">
            <w:pPr>
              <w:jc w:val="both"/>
              <w:rPr>
                <w:rFonts w:ascii="Times New Roman" w:hAnsi="Times New Roman" w:cs="Times New Roman"/>
              </w:rPr>
            </w:pPr>
            <w:r w:rsidRPr="00B00A27">
              <w:rPr>
                <w:rFonts w:ascii="Times New Roman" w:hAnsi="Times New Roman" w:cs="Times New Roman"/>
              </w:rPr>
              <w:t xml:space="preserve">Bachelor of Science with a major in Health Fitness Management- This is another program which does not meet degree productivity criteria on average during the period indicated, but as shown in the table below, the number of majors has begun to increase to healthy levels. </w:t>
            </w:r>
          </w:p>
          <w:p w:rsidR="00B00A27" w:rsidRPr="00B00A27" w:rsidRDefault="00B00A27" w:rsidP="00B00A27">
            <w:pPr>
              <w:jc w:val="both"/>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1"/>
              <w:gridCol w:w="661"/>
              <w:gridCol w:w="1095"/>
              <w:gridCol w:w="903"/>
            </w:tblGrid>
            <w:tr w:rsidR="00B00A27" w:rsidRPr="00B00A27" w:rsidTr="001B6DAA">
              <w:trPr>
                <w:jc w:val="center"/>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HFMG</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Fall</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Summer</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Spring</w:t>
                  </w:r>
                </w:p>
                <w:p w:rsidR="00B00A27" w:rsidRPr="00B00A27" w:rsidRDefault="00B00A27" w:rsidP="00B00A27">
                  <w:pPr>
                    <w:jc w:val="both"/>
                    <w:rPr>
                      <w:rFonts w:ascii="Times New Roman" w:hAnsi="Times New Roman" w:cs="Times New Roman"/>
                      <w:b/>
                      <w:bCs/>
                    </w:rPr>
                  </w:pP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2014</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143</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71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163</w:t>
                  </w: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2013</w:t>
                  </w:r>
                </w:p>
              </w:tc>
              <w:tc>
                <w:tcPr>
                  <w:tcW w:w="6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160</w:t>
                  </w:r>
                </w:p>
              </w:tc>
              <w:tc>
                <w:tcPr>
                  <w:tcW w:w="10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69</w:t>
                  </w:r>
                </w:p>
              </w:tc>
              <w:tc>
                <w:tcPr>
                  <w:tcW w:w="9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136</w:t>
                  </w: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2012</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135</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58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117</w:t>
                  </w: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2011</w:t>
                  </w:r>
                </w:p>
              </w:tc>
              <w:tc>
                <w:tcPr>
                  <w:tcW w:w="6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117</w:t>
                  </w:r>
                </w:p>
              </w:tc>
              <w:tc>
                <w:tcPr>
                  <w:tcW w:w="10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59</w:t>
                  </w:r>
                </w:p>
              </w:tc>
              <w:tc>
                <w:tcPr>
                  <w:tcW w:w="9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83</w:t>
                  </w: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2010</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81</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36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73</w:t>
                  </w:r>
                </w:p>
              </w:tc>
            </w:tr>
            <w:tr w:rsidR="00B00A27" w:rsidRPr="00B00A27" w:rsidTr="001B6DAA">
              <w:trPr>
                <w:jc w:val="center"/>
              </w:trPr>
              <w:tc>
                <w:tcPr>
                  <w:tcW w:w="89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b/>
                      <w:bCs/>
                    </w:rPr>
                  </w:pPr>
                  <w:r w:rsidRPr="00B00A27">
                    <w:rPr>
                      <w:rFonts w:ascii="Times New Roman" w:hAnsi="Times New Roman" w:cs="Times New Roman"/>
                      <w:b/>
                      <w:bCs/>
                    </w:rPr>
                    <w:t>2009</w:t>
                  </w:r>
                </w:p>
              </w:tc>
              <w:tc>
                <w:tcPr>
                  <w:tcW w:w="6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69</w:t>
                  </w:r>
                </w:p>
              </w:tc>
              <w:tc>
                <w:tcPr>
                  <w:tcW w:w="109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29</w:t>
                  </w:r>
                </w:p>
              </w:tc>
              <w:tc>
                <w:tcPr>
                  <w:tcW w:w="9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54</w:t>
                  </w:r>
                </w:p>
              </w:tc>
            </w:tr>
          </w:tbl>
          <w:p w:rsidR="00B00A27" w:rsidRPr="00B00A27" w:rsidRDefault="00B00A27" w:rsidP="00B00A27">
            <w:pPr>
              <w:jc w:val="both"/>
              <w:rPr>
                <w:rFonts w:ascii="Times New Roman" w:hAnsi="Times New Roman" w:cs="Times New Roman"/>
              </w:rPr>
            </w:pPr>
          </w:p>
          <w:p w:rsidR="00B00A27" w:rsidRPr="00B00A27" w:rsidRDefault="00B00A27" w:rsidP="00B00A27">
            <w:pPr>
              <w:jc w:val="both"/>
              <w:rPr>
                <w:rFonts w:ascii="Times New Roman" w:hAnsi="Times New Roman" w:cs="Times New Roman"/>
              </w:rPr>
            </w:pPr>
            <w:r w:rsidRPr="00B00A27">
              <w:rPr>
                <w:rFonts w:ascii="Times New Roman" w:hAnsi="Times New Roman" w:cs="Times New Roman"/>
              </w:rPr>
              <w:t xml:space="preserve">A proposal to merge the Bachelor of Arts with a major in Theatre, the Bachelor of Arts with a major in Music and the Bachelor of Music with a major in Music into a single Bachelor of Arts with a major in Performing Arts is nearing completion and </w:t>
            </w:r>
            <w:r w:rsidR="007C10EE">
              <w:rPr>
                <w:rFonts w:ascii="Times New Roman" w:hAnsi="Times New Roman" w:cs="Times New Roman"/>
              </w:rPr>
              <w:t>has been</w:t>
            </w:r>
            <w:r w:rsidRPr="00B00A27">
              <w:rPr>
                <w:rFonts w:ascii="Times New Roman" w:hAnsi="Times New Roman" w:cs="Times New Roman"/>
              </w:rPr>
              <w:t xml:space="preserve"> submitted</w:t>
            </w:r>
            <w:r>
              <w:rPr>
                <w:rFonts w:ascii="Times New Roman" w:hAnsi="Times New Roman" w:cs="Times New Roman"/>
              </w:rPr>
              <w:t>. A faculty line</w:t>
            </w:r>
            <w:r w:rsidRPr="00B00A27">
              <w:rPr>
                <w:rFonts w:ascii="Times New Roman" w:hAnsi="Times New Roman" w:cs="Times New Roman"/>
              </w:rPr>
              <w:t xml:space="preserve"> in the music major has already been reassigned to create a faculty line to support the burgeoning film and entertainment industry in Georgia.  </w:t>
            </w:r>
          </w:p>
          <w:p w:rsidR="00B00A27" w:rsidRPr="00B00A27" w:rsidRDefault="00B00A27" w:rsidP="00B00A27">
            <w:pPr>
              <w:jc w:val="both"/>
              <w:rPr>
                <w:rFonts w:ascii="Times New Roman" w:hAnsi="Times New Roman" w:cs="Times New Roman"/>
              </w:rPr>
            </w:pPr>
          </w:p>
          <w:p w:rsidR="0045573A" w:rsidRPr="00B00A27" w:rsidRDefault="00B00A27" w:rsidP="00B00A27">
            <w:pPr>
              <w:pStyle w:val="Default"/>
              <w:jc w:val="both"/>
              <w:rPr>
                <w:color w:val="auto"/>
                <w:sz w:val="22"/>
                <w:szCs w:val="22"/>
              </w:rPr>
            </w:pPr>
            <w:r w:rsidRPr="00B00A27">
              <w:rPr>
                <w:sz w:val="22"/>
                <w:szCs w:val="22"/>
              </w:rPr>
              <w:lastRenderedPageBreak/>
              <w:t>The Bachelor of Infor</w:t>
            </w:r>
            <w:r w:rsidRPr="00B00A27">
              <w:rPr>
                <w:color w:val="000000" w:themeColor="text1"/>
                <w:sz w:val="22"/>
                <w:szCs w:val="22"/>
              </w:rPr>
              <w:t xml:space="preserve">mation Technology with a major in Information Design and Production and the </w:t>
            </w:r>
            <w:r w:rsidRPr="00B00A27">
              <w:rPr>
                <w:sz w:val="22"/>
                <w:szCs w:val="22"/>
              </w:rPr>
              <w:t>Bachelor of Applied Science in Dental Hygiene Practice and Administration were on the list but had already been terminated. The Bachelor of Science in Information Technology is offered collaboratively by five USG institutions so the expenses of the program are shared.</w:t>
            </w:r>
          </w:p>
          <w:p w:rsidR="00F321C6" w:rsidRPr="00B00A27" w:rsidRDefault="00F321C6" w:rsidP="00B00A27">
            <w:pPr>
              <w:pStyle w:val="Default"/>
              <w:jc w:val="both"/>
              <w:rPr>
                <w:color w:val="auto"/>
                <w:sz w:val="22"/>
                <w:szCs w:val="22"/>
              </w:rPr>
            </w:pPr>
          </w:p>
        </w:tc>
      </w:tr>
    </w:tbl>
    <w:p w:rsidR="00F321C6" w:rsidRDefault="00F321C6"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BE063D" w:rsidRPr="00FA36CB">
        <w:tc>
          <w:tcPr>
            <w:tcW w:w="9576" w:type="dxa"/>
          </w:tcPr>
          <w:p w:rsidR="00BE063D" w:rsidRPr="008906D3" w:rsidRDefault="0045573A" w:rsidP="0045573A">
            <w:pPr>
              <w:pStyle w:val="Default"/>
              <w:numPr>
                <w:ilvl w:val="0"/>
                <w:numId w:val="1"/>
              </w:numPr>
              <w:jc w:val="both"/>
              <w:rPr>
                <w:color w:val="auto"/>
              </w:rPr>
            </w:pPr>
            <w:r>
              <w:rPr>
                <w:color w:val="000000" w:themeColor="text1"/>
              </w:rPr>
              <w:t>Provide</w:t>
            </w:r>
            <w:r w:rsidR="000955E3">
              <w:rPr>
                <w:color w:val="000000" w:themeColor="text1"/>
              </w:rPr>
              <w:t xml:space="preserve"> a high level summary of </w:t>
            </w:r>
            <w:r>
              <w:rPr>
                <w:color w:val="000000" w:themeColor="text1"/>
              </w:rPr>
              <w:t>the Complete College Georgia</w:t>
            </w:r>
            <w:r w:rsidR="000955E3">
              <w:rPr>
                <w:color w:val="000000" w:themeColor="text1"/>
              </w:rPr>
              <w:t xml:space="preserve"> report</w:t>
            </w:r>
            <w:r>
              <w:rPr>
                <w:color w:val="000000" w:themeColor="text1"/>
              </w:rPr>
              <w:t>.  What was the financial investment</w:t>
            </w:r>
            <w:r w:rsidR="00A2045B">
              <w:rPr>
                <w:color w:val="000000" w:themeColor="text1"/>
              </w:rPr>
              <w:t xml:space="preserve"> in CCG</w:t>
            </w:r>
            <w:r>
              <w:rPr>
                <w:color w:val="000000" w:themeColor="text1"/>
              </w:rPr>
              <w:t>?  Is this investment paying off</w:t>
            </w:r>
            <w:r w:rsidR="00A2045B">
              <w:rPr>
                <w:color w:val="000000" w:themeColor="text1"/>
              </w:rPr>
              <w:t xml:space="preserve"> through increased retention, improved graduation rates, etc</w:t>
            </w:r>
            <w:r w:rsidR="002650B7">
              <w:rPr>
                <w:color w:val="000000" w:themeColor="text1"/>
              </w:rPr>
              <w:t>.</w:t>
            </w:r>
            <w:r>
              <w:rPr>
                <w:color w:val="000000" w:themeColor="text1"/>
              </w:rPr>
              <w:t xml:space="preserve">? </w:t>
            </w:r>
          </w:p>
        </w:tc>
      </w:tr>
      <w:tr w:rsidR="00BE063D">
        <w:tc>
          <w:tcPr>
            <w:tcW w:w="9576" w:type="dxa"/>
          </w:tcPr>
          <w:p w:rsidR="00B00A27" w:rsidRPr="00B00A27" w:rsidRDefault="00B00A27" w:rsidP="00B00A27">
            <w:pPr>
              <w:jc w:val="both"/>
              <w:rPr>
                <w:rFonts w:ascii="Times New Roman" w:hAnsi="Times New Roman"/>
              </w:rPr>
            </w:pPr>
            <w:r w:rsidRPr="00B00A27">
              <w:rPr>
                <w:rFonts w:ascii="Times New Roman" w:hAnsi="Times New Roman"/>
              </w:rPr>
              <w:t xml:space="preserve">To improve access and completion for a diverse student body, Clayton State’s strategies focus on expanding flexible learning and credit options and enhancing student advising and support. The overarching goal of these strategies is to increase the number of degrees awarded to all learners but especially adult learners with some college credit but no degree. </w:t>
            </w:r>
            <w:r w:rsidR="000A6C7F">
              <w:rPr>
                <w:rFonts w:ascii="Times New Roman" w:hAnsi="Times New Roman"/>
              </w:rPr>
              <w:t xml:space="preserve">As cited previously, the percentage of adults with some college credit but no degree is nearly 40 percent higher in Clayton County </w:t>
            </w:r>
            <w:r w:rsidR="00FA6655">
              <w:rPr>
                <w:rFonts w:ascii="Times New Roman" w:hAnsi="Times New Roman"/>
              </w:rPr>
              <w:t xml:space="preserve">(29%) </w:t>
            </w:r>
            <w:r w:rsidR="000A6C7F">
              <w:rPr>
                <w:rFonts w:ascii="Times New Roman" w:hAnsi="Times New Roman"/>
              </w:rPr>
              <w:t>when compared to the State average</w:t>
            </w:r>
            <w:r w:rsidR="00FA6655">
              <w:rPr>
                <w:rFonts w:ascii="Times New Roman" w:hAnsi="Times New Roman"/>
              </w:rPr>
              <w:t xml:space="preserve"> of 21%</w:t>
            </w:r>
            <w:r w:rsidR="000A6C7F">
              <w:rPr>
                <w:rFonts w:ascii="Times New Roman" w:hAnsi="Times New Roman"/>
              </w:rPr>
              <w:t>. At Clayton State, a</w:t>
            </w:r>
            <w:r w:rsidR="000A6C7F" w:rsidRPr="00B00A27">
              <w:rPr>
                <w:rFonts w:ascii="Times New Roman" w:hAnsi="Times New Roman"/>
              </w:rPr>
              <w:t>dult learners comprise 40% of new undergraduates and 70% of all bachelors’ degrees awarded.</w:t>
            </w:r>
            <w:r w:rsidR="00FA6655">
              <w:rPr>
                <w:rFonts w:ascii="Times New Roman" w:hAnsi="Times New Roman"/>
              </w:rPr>
              <w:t xml:space="preserve"> An essential piece of CSU strategy will be our focus on reaching Clayton County’s adult population with some college.</w:t>
            </w:r>
          </w:p>
          <w:p w:rsidR="00B00A27" w:rsidRPr="00B00A27" w:rsidRDefault="00B00A27" w:rsidP="00B00A27">
            <w:pPr>
              <w:jc w:val="both"/>
              <w:rPr>
                <w:rFonts w:ascii="Times New Roman" w:hAnsi="Times New Roman"/>
              </w:rPr>
            </w:pPr>
          </w:p>
          <w:p w:rsidR="000A6C7F" w:rsidRPr="00B00A27" w:rsidRDefault="000A6C7F" w:rsidP="000A6C7F">
            <w:pPr>
              <w:jc w:val="both"/>
              <w:rPr>
                <w:rFonts w:ascii="Times New Roman" w:hAnsi="Times New Roman"/>
              </w:rPr>
            </w:pPr>
            <w:r w:rsidRPr="00B00A27">
              <w:rPr>
                <w:rFonts w:ascii="Times New Roman" w:hAnsi="Times New Roman"/>
              </w:rPr>
              <w:t xml:space="preserve">Enhancing student advising is one of the institution’s top priorities. We’re in the process of </w:t>
            </w:r>
            <w:r>
              <w:rPr>
                <w:rFonts w:ascii="Times New Roman" w:hAnsi="Times New Roman"/>
              </w:rPr>
              <w:t xml:space="preserve">hiring </w:t>
            </w:r>
            <w:r w:rsidRPr="00B00A27">
              <w:rPr>
                <w:rFonts w:ascii="Times New Roman" w:hAnsi="Times New Roman"/>
              </w:rPr>
              <w:t>for a new</w:t>
            </w:r>
            <w:r>
              <w:rPr>
                <w:rFonts w:ascii="Times New Roman" w:hAnsi="Times New Roman"/>
              </w:rPr>
              <w:t>ly created</w:t>
            </w:r>
            <w:r w:rsidRPr="00B00A27">
              <w:rPr>
                <w:rFonts w:ascii="Times New Roman" w:hAnsi="Times New Roman"/>
              </w:rPr>
              <w:t xml:space="preserve"> Director of Advising</w:t>
            </w:r>
            <w:r>
              <w:rPr>
                <w:rFonts w:ascii="Times New Roman" w:hAnsi="Times New Roman"/>
              </w:rPr>
              <w:t xml:space="preserve"> position</w:t>
            </w:r>
            <w:r w:rsidRPr="00B00A27">
              <w:rPr>
                <w:rFonts w:ascii="Times New Roman" w:hAnsi="Times New Roman"/>
              </w:rPr>
              <w:t xml:space="preserve"> to oversee Clayton State University’s new, centralized academic advising center and use data driven resources (DegreeWorks, Student Success Collaborative) and best practices to provide effective support for approximately 6500 undergraduate students. Advising is currently decentralized between the colleges and a first-year advising center that uses the program MapWorks and a holistic advising model. Since opening the first-year center, the first-time, full-time retention rate has remained above the 2010 rate of 65.86% for the fall 2010 cohort, with retention rates of 67.84%, 72.34% and 68.3% (estimated) for the three most recent cohorts. The goal of centralizing advising, with consistent guidelines and use of advising tools such as the Student Success Collaborative, is to see similar retention improvements among all student populations. </w:t>
            </w:r>
          </w:p>
          <w:p w:rsidR="00B00A27" w:rsidRPr="00B00A27" w:rsidRDefault="00B00A27" w:rsidP="00B00A27">
            <w:pPr>
              <w:jc w:val="both"/>
              <w:rPr>
                <w:rFonts w:ascii="Times New Roman" w:hAnsi="Times New Roman"/>
              </w:rPr>
            </w:pPr>
          </w:p>
          <w:p w:rsidR="00B00A27" w:rsidRPr="00B00A27" w:rsidRDefault="00B00A27" w:rsidP="00B00A27">
            <w:pPr>
              <w:jc w:val="both"/>
              <w:rPr>
                <w:rFonts w:ascii="Times New Roman" w:hAnsi="Times New Roman"/>
              </w:rPr>
            </w:pPr>
            <w:r w:rsidRPr="00B00A27">
              <w:rPr>
                <w:rFonts w:ascii="Times New Roman" w:hAnsi="Times New Roman"/>
              </w:rPr>
              <w:t xml:space="preserve">Another main priority is expansion of distance learning to support student success. Clayton State hired an online student success advisor in fall 2013 and a distance education director in summer 2014. Since hiring the online student success advisor, online and eCore credit completion rates have increase by 1% for online courses and by almost 10% for eCore. </w:t>
            </w:r>
          </w:p>
          <w:p w:rsidR="00B00A27" w:rsidRPr="00B00A27" w:rsidRDefault="00B00A27" w:rsidP="00B00A27">
            <w:pPr>
              <w:jc w:val="both"/>
              <w:rPr>
                <w:rFonts w:ascii="Times New Roman" w:hAnsi="Times New Roman"/>
              </w:rPr>
            </w:pPr>
          </w:p>
          <w:p w:rsidR="00B00A27" w:rsidRPr="00B00A27" w:rsidRDefault="00B00A27" w:rsidP="00B00A27">
            <w:pPr>
              <w:jc w:val="both"/>
              <w:rPr>
                <w:rFonts w:ascii="Times New Roman" w:hAnsi="Times New Roman"/>
              </w:rPr>
            </w:pPr>
            <w:r w:rsidRPr="00B00A27">
              <w:rPr>
                <w:rFonts w:ascii="Times New Roman" w:hAnsi="Times New Roman"/>
              </w:rPr>
              <w:t>The CCG budget of $250,000 supports these goals with 40% budgeted for advising and student support (</w:t>
            </w:r>
            <w:r w:rsidRPr="00B00A27">
              <w:rPr>
                <w:rFonts w:ascii="Times New Roman" w:hAnsi="Times New Roman"/>
                <w:i/>
                <w:iCs/>
              </w:rPr>
              <w:t>Student Success Collaborative</w:t>
            </w:r>
            <w:r w:rsidRPr="00B00A27">
              <w:rPr>
                <w:rFonts w:ascii="Times New Roman" w:hAnsi="Times New Roman"/>
              </w:rPr>
              <w:t xml:space="preserve"> advising tool, peer financial counselors, and Writers’ Studio for writing support), 20% supporting faculty development of online and alternate instructional delivery models, and the remaining budgeted to two staff members supporting Veterans and the Complete College initiative. </w:t>
            </w:r>
          </w:p>
          <w:p w:rsidR="00D03F62" w:rsidRDefault="00D03F62" w:rsidP="00EB6AA1">
            <w:pPr>
              <w:pStyle w:val="Default"/>
              <w:jc w:val="both"/>
              <w:rPr>
                <w:color w:val="auto"/>
              </w:rPr>
            </w:pPr>
          </w:p>
          <w:p w:rsidR="00BE063D" w:rsidRDefault="00BE063D" w:rsidP="00EB6AA1">
            <w:pPr>
              <w:pStyle w:val="Default"/>
              <w:jc w:val="both"/>
              <w:rPr>
                <w:color w:val="auto"/>
              </w:rPr>
            </w:pPr>
          </w:p>
        </w:tc>
      </w:tr>
    </w:tbl>
    <w:p w:rsidR="00BE063D" w:rsidRDefault="00BE063D"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BE063D" w:rsidRPr="00FA36CB">
        <w:tc>
          <w:tcPr>
            <w:tcW w:w="9576" w:type="dxa"/>
          </w:tcPr>
          <w:p w:rsidR="00BE063D" w:rsidRPr="00FA36CB" w:rsidRDefault="00BE6A34" w:rsidP="00BE6A34">
            <w:pPr>
              <w:pStyle w:val="Default"/>
              <w:numPr>
                <w:ilvl w:val="0"/>
                <w:numId w:val="1"/>
              </w:numPr>
              <w:jc w:val="both"/>
              <w:rPr>
                <w:color w:val="auto"/>
              </w:rPr>
            </w:pPr>
            <w:r>
              <w:rPr>
                <w:color w:val="auto"/>
              </w:rPr>
              <w:t>Consistent with the goals of Compete College Georgia, the funding model</w:t>
            </w:r>
            <w:r w:rsidR="00BA5260">
              <w:rPr>
                <w:color w:val="auto"/>
              </w:rPr>
              <w:t xml:space="preserve"> </w:t>
            </w:r>
            <w:r>
              <w:rPr>
                <w:color w:val="auto"/>
              </w:rPr>
              <w:t xml:space="preserve">for state funds </w:t>
            </w:r>
            <w:r w:rsidR="00BA5260">
              <w:rPr>
                <w:color w:val="auto"/>
              </w:rPr>
              <w:t xml:space="preserve">is shifting from an enrollment-based model to </w:t>
            </w:r>
            <w:r w:rsidR="002650B7">
              <w:rPr>
                <w:color w:val="auto"/>
              </w:rPr>
              <w:t>an</w:t>
            </w:r>
            <w:r w:rsidR="00BA5260">
              <w:rPr>
                <w:color w:val="auto"/>
              </w:rPr>
              <w:t xml:space="preserve"> </w:t>
            </w:r>
            <w:r>
              <w:rPr>
                <w:color w:val="auto"/>
              </w:rPr>
              <w:t xml:space="preserve">outcomes-based (performance) model, with progression and awards conferred being critical factors. </w:t>
            </w:r>
            <w:r w:rsidR="00BE063D" w:rsidRPr="00FA36CB">
              <w:rPr>
                <w:color w:val="auto"/>
              </w:rPr>
              <w:t xml:space="preserve">Discuss </w:t>
            </w:r>
            <w:r w:rsidR="00BE063D">
              <w:rPr>
                <w:color w:val="auto"/>
              </w:rPr>
              <w:t>your</w:t>
            </w:r>
            <w:r w:rsidR="00BE063D" w:rsidRPr="00FA36CB">
              <w:rPr>
                <w:color w:val="auto"/>
              </w:rPr>
              <w:t xml:space="preserve"> </w:t>
            </w:r>
            <w:r w:rsidR="00BE063D">
              <w:rPr>
                <w:color w:val="auto"/>
              </w:rPr>
              <w:t>institution’s</w:t>
            </w:r>
            <w:r w:rsidR="00BE063D" w:rsidRPr="00FA36CB">
              <w:rPr>
                <w:color w:val="auto"/>
              </w:rPr>
              <w:t xml:space="preserve"> </w:t>
            </w:r>
            <w:r w:rsidR="00BE063D">
              <w:rPr>
                <w:color w:val="auto"/>
              </w:rPr>
              <w:t xml:space="preserve">current </w:t>
            </w:r>
            <w:r w:rsidR="00BE063D" w:rsidRPr="00FA36CB">
              <w:rPr>
                <w:color w:val="auto"/>
              </w:rPr>
              <w:t>retention and graduation</w:t>
            </w:r>
            <w:r w:rsidR="00BE063D">
              <w:rPr>
                <w:color w:val="auto"/>
              </w:rPr>
              <w:t xml:space="preserve"> rates</w:t>
            </w:r>
            <w:r w:rsidR="00BE063D" w:rsidRPr="00FA36CB">
              <w:rPr>
                <w:color w:val="auto"/>
              </w:rPr>
              <w:t xml:space="preserve">.  How does the </w:t>
            </w:r>
            <w:r w:rsidR="00BE063D">
              <w:rPr>
                <w:color w:val="auto"/>
              </w:rPr>
              <w:t>institution</w:t>
            </w:r>
            <w:r w:rsidR="00BE063D" w:rsidRPr="00FA36CB">
              <w:rPr>
                <w:color w:val="auto"/>
              </w:rPr>
              <w:t xml:space="preserve"> compare/rank to its peer institutions?</w:t>
            </w:r>
            <w:r w:rsidR="00BE063D">
              <w:rPr>
                <w:color w:val="auto"/>
              </w:rPr>
              <w:t xml:space="preserve">  What are the short-term and long-term retention and graduation targets for your institution?   </w:t>
            </w:r>
          </w:p>
        </w:tc>
      </w:tr>
      <w:tr w:rsidR="00BE063D">
        <w:tc>
          <w:tcPr>
            <w:tcW w:w="9576" w:type="dxa"/>
          </w:tcPr>
          <w:p w:rsidR="000A6C7F" w:rsidRPr="00B00A27" w:rsidRDefault="000A6C7F" w:rsidP="000A6C7F">
            <w:pPr>
              <w:jc w:val="both"/>
              <w:rPr>
                <w:rFonts w:ascii="Times New Roman" w:hAnsi="Times New Roman" w:cs="Times New Roman"/>
              </w:rPr>
            </w:pPr>
            <w:r w:rsidRPr="00B00A27">
              <w:rPr>
                <w:rFonts w:ascii="Times New Roman" w:hAnsi="Times New Roman" w:cs="Times New Roman"/>
              </w:rPr>
              <w:t xml:space="preserve">The most recent cohort retention rate available is for our Fall 2012 entering class. The retention rate for this group was 72.34% (76.45% system-wide). This rate was above the 70.60% average for state </w:t>
            </w:r>
            <w:r w:rsidRPr="00B00A27">
              <w:rPr>
                <w:rFonts w:ascii="Times New Roman" w:hAnsi="Times New Roman" w:cs="Times New Roman"/>
              </w:rPr>
              <w:lastRenderedPageBreak/>
              <w:t xml:space="preserve">universities in our sector. We attribute this retention rate to the various interventions developed through the First-Year Advising &amp; Retention Center. Unofficial numbers indicate that the Fall 2013 cohort retention rate will be approximately 3% lower. </w:t>
            </w:r>
            <w:r>
              <w:rPr>
                <w:rFonts w:ascii="Times New Roman" w:hAnsi="Times New Roman" w:cs="Times New Roman"/>
              </w:rPr>
              <w:t>As stated earlier, w</w:t>
            </w:r>
            <w:r w:rsidRPr="00B00A27">
              <w:rPr>
                <w:rFonts w:ascii="Times New Roman" w:hAnsi="Times New Roman" w:cs="Times New Roman"/>
              </w:rPr>
              <w:t xml:space="preserve">e believe this decline is primarily attributed to loss of financial aid, since </w:t>
            </w:r>
            <w:r>
              <w:rPr>
                <w:rFonts w:ascii="Times New Roman" w:hAnsi="Times New Roman" w:cs="Times New Roman"/>
              </w:rPr>
              <w:t>62</w:t>
            </w:r>
            <w:r w:rsidRPr="00B00A27">
              <w:rPr>
                <w:rFonts w:ascii="Times New Roman" w:hAnsi="Times New Roman" w:cs="Times New Roman"/>
              </w:rPr>
              <w:t>% of the students who did not return were making satisfactory academic progress</w:t>
            </w:r>
            <w:r>
              <w:rPr>
                <w:rFonts w:ascii="Times New Roman" w:hAnsi="Times New Roman" w:cs="Times New Roman"/>
              </w:rPr>
              <w:t xml:space="preserve"> but still did not return and fewer than one-third transferred to another institution</w:t>
            </w:r>
            <w:r w:rsidRPr="00B00A27">
              <w:rPr>
                <w:rFonts w:ascii="Times New Roman" w:hAnsi="Times New Roman" w:cs="Times New Roman"/>
              </w:rPr>
              <w:t>. Our short-term target for retention is to remain over 70% with a long-term target closer to the low to mid 70% range. We will continue to work closely with this population each year and continue encouraging first-year students to take advantage of the many campus-wide academic support services.</w:t>
            </w:r>
          </w:p>
          <w:p w:rsidR="000A6C7F" w:rsidRPr="00B00A27" w:rsidRDefault="000A6C7F" w:rsidP="000A6C7F">
            <w:pPr>
              <w:jc w:val="both"/>
              <w:rPr>
                <w:rFonts w:ascii="Times New Roman" w:hAnsi="Times New Roman" w:cs="Times New Roman"/>
              </w:rPr>
            </w:pPr>
          </w:p>
          <w:p w:rsidR="000A6C7F" w:rsidRDefault="000A6C7F" w:rsidP="000A6C7F">
            <w:pPr>
              <w:jc w:val="both"/>
              <w:rPr>
                <w:rFonts w:ascii="Times New Roman" w:hAnsi="Times New Roman" w:cs="Times New Roman"/>
              </w:rPr>
            </w:pPr>
            <w:r w:rsidRPr="00B00A27">
              <w:rPr>
                <w:rFonts w:ascii="Times New Roman" w:hAnsi="Times New Roman" w:cs="Times New Roman"/>
              </w:rPr>
              <w:t>Our most recent six-year graduation rate available is for the 2007 cohort. The graduation rate for this group was 28.57% (38.10% system-wide). This rate was below the 40.16% average for state universities in our sector. We are striving to reach a short-term cohort graduation rate over 30% with a long-term goal of reaching the low to mid 30% range. We hope to achieve these targets with a more intentional advising approach beyond the first year through graduation with our plan to centralize advising and implement a new advising model in the next year. A companion to this model is the full implementation of Degree Works, which has already occurred and the full implementation of the Student Success Collaborative (SSC). Both of these advising initiatives have been discussed throughout this Budget Narrative.</w:t>
            </w:r>
          </w:p>
          <w:p w:rsidR="000A6C7F" w:rsidRDefault="000A6C7F" w:rsidP="000A6C7F">
            <w:pPr>
              <w:jc w:val="both"/>
              <w:rPr>
                <w:rFonts w:ascii="Times New Roman" w:hAnsi="Times New Roman" w:cs="Times New Roman"/>
              </w:rPr>
            </w:pPr>
          </w:p>
          <w:p w:rsidR="000A6C7F" w:rsidRPr="00B00A27" w:rsidRDefault="000A6C7F" w:rsidP="000A6C7F">
            <w:pPr>
              <w:jc w:val="both"/>
              <w:rPr>
                <w:rFonts w:ascii="Times New Roman" w:hAnsi="Times New Roman" w:cs="Times New Roman"/>
              </w:rPr>
            </w:pPr>
            <w:r>
              <w:rPr>
                <w:rFonts w:ascii="Times New Roman" w:hAnsi="Times New Roman" w:cs="Times New Roman"/>
              </w:rPr>
              <w:t>Two policies changes that could immediately decrease time to graduation would be to restore the availability of Pell grants for the summer term and also offer ACCEL scholarships for dual-enrolled high school students during the summer. Many working adults enroll in fewer courses during the fall and spring terms due to work and family obligations. Offering financial support for the summer would help them stay on track and decrease the time to graduation. And, many motivated high students could reduce the cost of college and shorten time to graduation by completing dual-enrolled courses during the summer.</w:t>
            </w:r>
          </w:p>
          <w:p w:rsidR="00BE063D" w:rsidRDefault="00BE063D" w:rsidP="00EB6AA1">
            <w:pPr>
              <w:pStyle w:val="Default"/>
              <w:jc w:val="both"/>
              <w:rPr>
                <w:color w:val="auto"/>
              </w:rPr>
            </w:pPr>
          </w:p>
        </w:tc>
      </w:tr>
    </w:tbl>
    <w:p w:rsidR="00F27784" w:rsidRDefault="00F27784" w:rsidP="00AF55C5"/>
    <w:p w:rsidR="0046531A" w:rsidRDefault="0046531A" w:rsidP="00AF55C5"/>
    <w:tbl>
      <w:tblPr>
        <w:tblStyle w:val="TableGrid"/>
        <w:tblW w:w="0" w:type="auto"/>
        <w:tblLook w:val="04A0" w:firstRow="1" w:lastRow="0" w:firstColumn="1" w:lastColumn="0" w:noHBand="0" w:noVBand="1"/>
      </w:tblPr>
      <w:tblGrid>
        <w:gridCol w:w="9576"/>
      </w:tblGrid>
      <w:tr w:rsidR="00307374">
        <w:tc>
          <w:tcPr>
            <w:tcW w:w="9576" w:type="dxa"/>
          </w:tcPr>
          <w:p w:rsidR="00307374" w:rsidRPr="008065C3" w:rsidRDefault="009A08AA" w:rsidP="007F0FF0">
            <w:pPr>
              <w:rPr>
                <w:sz w:val="28"/>
                <w:szCs w:val="28"/>
              </w:rPr>
            </w:pPr>
            <w:r w:rsidRPr="008065C3">
              <w:rPr>
                <w:rFonts w:ascii="Times New Roman" w:hAnsi="Times New Roman" w:cs="Times New Roman"/>
                <w:b/>
                <w:color w:val="1F497D" w:themeColor="text2"/>
                <w:sz w:val="28"/>
                <w:szCs w:val="28"/>
              </w:rPr>
              <w:t>NOTE:</w:t>
            </w:r>
            <w:r w:rsidRPr="008065C3">
              <w:rPr>
                <w:rFonts w:ascii="Times New Roman" w:hAnsi="Times New Roman" w:cs="Times New Roman"/>
                <w:color w:val="1F497D" w:themeColor="text2"/>
                <w:sz w:val="27"/>
                <w:szCs w:val="27"/>
              </w:rPr>
              <w:t xml:space="preserve">  </w:t>
            </w:r>
            <w:r w:rsidR="00307374" w:rsidRPr="008065C3">
              <w:rPr>
                <w:rFonts w:ascii="Times New Roman" w:hAnsi="Times New Roman" w:cs="Times New Roman"/>
                <w:color w:val="1F497D" w:themeColor="text2"/>
                <w:sz w:val="27"/>
                <w:szCs w:val="27"/>
              </w:rPr>
              <w:t>In addition to the FY 201</w:t>
            </w:r>
            <w:r w:rsidR="00D63320" w:rsidRPr="008065C3">
              <w:rPr>
                <w:rFonts w:ascii="Times New Roman" w:hAnsi="Times New Roman" w:cs="Times New Roman"/>
                <w:color w:val="1F497D" w:themeColor="text2"/>
                <w:sz w:val="27"/>
                <w:szCs w:val="27"/>
              </w:rPr>
              <w:t>6</w:t>
            </w:r>
            <w:r w:rsidR="00307374" w:rsidRPr="008065C3">
              <w:rPr>
                <w:rFonts w:ascii="Times New Roman" w:hAnsi="Times New Roman" w:cs="Times New Roman"/>
                <w:color w:val="1F497D" w:themeColor="text2"/>
                <w:sz w:val="27"/>
                <w:szCs w:val="27"/>
              </w:rPr>
              <w:t xml:space="preserve"> Budget Narrative, please complete </w:t>
            </w:r>
            <w:r w:rsidR="00D67F4A" w:rsidRPr="008065C3">
              <w:rPr>
                <w:rFonts w:ascii="Times New Roman" w:hAnsi="Times New Roman" w:cs="Times New Roman"/>
                <w:color w:val="1F497D" w:themeColor="text2"/>
                <w:sz w:val="27"/>
                <w:szCs w:val="27"/>
              </w:rPr>
              <w:t xml:space="preserve">(as applicable) </w:t>
            </w:r>
            <w:r w:rsidR="00132B7A" w:rsidRPr="008065C3">
              <w:rPr>
                <w:rFonts w:ascii="Times New Roman" w:hAnsi="Times New Roman" w:cs="Times New Roman"/>
                <w:color w:val="1F497D" w:themeColor="text2"/>
                <w:sz w:val="27"/>
                <w:szCs w:val="27"/>
              </w:rPr>
              <w:t xml:space="preserve">all </w:t>
            </w:r>
            <w:r w:rsidR="00011F16" w:rsidRPr="008065C3">
              <w:rPr>
                <w:rFonts w:ascii="Times New Roman" w:hAnsi="Times New Roman" w:cs="Times New Roman"/>
                <w:color w:val="1F497D" w:themeColor="text2"/>
                <w:sz w:val="27"/>
                <w:szCs w:val="27"/>
              </w:rPr>
              <w:t>four</w:t>
            </w:r>
            <w:r w:rsidR="00132B7A" w:rsidRPr="008065C3">
              <w:rPr>
                <w:rFonts w:ascii="Times New Roman" w:hAnsi="Times New Roman" w:cs="Times New Roman"/>
                <w:color w:val="1F497D" w:themeColor="text2"/>
                <w:sz w:val="27"/>
                <w:szCs w:val="27"/>
              </w:rPr>
              <w:t xml:space="preserve"> tabs included</w:t>
            </w:r>
            <w:r w:rsidR="00D67F4A" w:rsidRPr="008065C3">
              <w:rPr>
                <w:rFonts w:ascii="Times New Roman" w:hAnsi="Times New Roman" w:cs="Times New Roman"/>
                <w:color w:val="1F497D" w:themeColor="text2"/>
                <w:sz w:val="27"/>
                <w:szCs w:val="27"/>
              </w:rPr>
              <w:t xml:space="preserve"> in </w:t>
            </w:r>
            <w:r w:rsidR="00307374" w:rsidRPr="008065C3">
              <w:rPr>
                <w:rFonts w:ascii="Times New Roman" w:hAnsi="Times New Roman" w:cs="Times New Roman"/>
                <w:color w:val="1F497D" w:themeColor="text2"/>
                <w:sz w:val="27"/>
                <w:szCs w:val="27"/>
              </w:rPr>
              <w:t xml:space="preserve">the attached Excel file </w:t>
            </w:r>
            <w:r w:rsidR="00D67F4A" w:rsidRPr="008065C3">
              <w:rPr>
                <w:rFonts w:ascii="Times New Roman" w:hAnsi="Times New Roman" w:cs="Times New Roman"/>
                <w:color w:val="1F497D" w:themeColor="text2"/>
                <w:sz w:val="27"/>
                <w:szCs w:val="27"/>
              </w:rPr>
              <w:t xml:space="preserve">regarding </w:t>
            </w:r>
            <w:r w:rsidR="00E31EA5" w:rsidRPr="008065C3">
              <w:rPr>
                <w:rFonts w:ascii="Times New Roman" w:hAnsi="Times New Roman" w:cs="Times New Roman"/>
                <w:color w:val="1F497D" w:themeColor="text2"/>
                <w:sz w:val="27"/>
                <w:szCs w:val="27"/>
              </w:rPr>
              <w:t>the fiscal year</w:t>
            </w:r>
            <w:r w:rsidR="00307374" w:rsidRPr="008065C3">
              <w:rPr>
                <w:rFonts w:ascii="Times New Roman" w:hAnsi="Times New Roman" w:cs="Times New Roman"/>
                <w:color w:val="1F497D" w:themeColor="text2"/>
                <w:sz w:val="27"/>
                <w:szCs w:val="27"/>
              </w:rPr>
              <w:t xml:space="preserve"> 201</w:t>
            </w:r>
            <w:r w:rsidR="007F0FF0" w:rsidRPr="008065C3">
              <w:rPr>
                <w:rFonts w:ascii="Times New Roman" w:hAnsi="Times New Roman" w:cs="Times New Roman"/>
                <w:color w:val="1F497D" w:themeColor="text2"/>
                <w:sz w:val="27"/>
                <w:szCs w:val="27"/>
              </w:rPr>
              <w:t>6</w:t>
            </w:r>
            <w:r w:rsidR="00307374" w:rsidRPr="008065C3">
              <w:rPr>
                <w:rFonts w:ascii="Times New Roman" w:hAnsi="Times New Roman" w:cs="Times New Roman"/>
                <w:color w:val="1F497D" w:themeColor="text2"/>
                <w:sz w:val="27"/>
                <w:szCs w:val="27"/>
              </w:rPr>
              <w:t xml:space="preserve"> </w:t>
            </w:r>
            <w:r w:rsidR="00E31EA5" w:rsidRPr="008065C3">
              <w:rPr>
                <w:rFonts w:ascii="Times New Roman" w:hAnsi="Times New Roman" w:cs="Times New Roman"/>
                <w:color w:val="1F497D" w:themeColor="text2"/>
                <w:sz w:val="27"/>
                <w:szCs w:val="27"/>
              </w:rPr>
              <w:t>o</w:t>
            </w:r>
            <w:r w:rsidR="00307374" w:rsidRPr="008065C3">
              <w:rPr>
                <w:rFonts w:ascii="Times New Roman" w:hAnsi="Times New Roman" w:cs="Times New Roman"/>
                <w:color w:val="1F497D" w:themeColor="text2"/>
                <w:sz w:val="27"/>
                <w:szCs w:val="27"/>
              </w:rPr>
              <w:t xml:space="preserve">perating </w:t>
            </w:r>
            <w:r w:rsidR="00E31EA5" w:rsidRPr="008065C3">
              <w:rPr>
                <w:rFonts w:ascii="Times New Roman" w:hAnsi="Times New Roman" w:cs="Times New Roman"/>
                <w:color w:val="1F497D" w:themeColor="text2"/>
                <w:sz w:val="27"/>
                <w:szCs w:val="27"/>
              </w:rPr>
              <w:t>b</w:t>
            </w:r>
            <w:r w:rsidR="00307374" w:rsidRPr="008065C3">
              <w:rPr>
                <w:rFonts w:ascii="Times New Roman" w:hAnsi="Times New Roman" w:cs="Times New Roman"/>
                <w:color w:val="1F497D" w:themeColor="text2"/>
                <w:sz w:val="27"/>
                <w:szCs w:val="27"/>
              </w:rPr>
              <w:t xml:space="preserve">udget </w:t>
            </w:r>
            <w:r w:rsidR="00E31EA5" w:rsidRPr="008065C3">
              <w:rPr>
                <w:rFonts w:ascii="Times New Roman" w:hAnsi="Times New Roman" w:cs="Times New Roman"/>
                <w:color w:val="1F497D" w:themeColor="text2"/>
                <w:sz w:val="27"/>
                <w:szCs w:val="27"/>
              </w:rPr>
              <w:t>r</w:t>
            </w:r>
            <w:r w:rsidR="00307374" w:rsidRPr="008065C3">
              <w:rPr>
                <w:rFonts w:ascii="Times New Roman" w:hAnsi="Times New Roman" w:cs="Times New Roman"/>
                <w:color w:val="1F497D" w:themeColor="text2"/>
                <w:sz w:val="27"/>
                <w:szCs w:val="27"/>
              </w:rPr>
              <w:t>equest</w:t>
            </w:r>
            <w:r w:rsidR="00132B7A" w:rsidRPr="008065C3">
              <w:rPr>
                <w:rFonts w:ascii="Times New Roman" w:hAnsi="Times New Roman" w:cs="Times New Roman"/>
                <w:color w:val="1F497D" w:themeColor="text2"/>
                <w:sz w:val="27"/>
                <w:szCs w:val="27"/>
              </w:rPr>
              <w:t xml:space="preserve">.  The tabs are labeled </w:t>
            </w:r>
            <w:r w:rsidR="00DF1CCC" w:rsidRPr="008065C3">
              <w:rPr>
                <w:rFonts w:ascii="Times New Roman" w:hAnsi="Times New Roman" w:cs="Times New Roman"/>
                <w:color w:val="1F497D" w:themeColor="text2"/>
                <w:sz w:val="27"/>
                <w:szCs w:val="27"/>
              </w:rPr>
              <w:t xml:space="preserve">(1) </w:t>
            </w:r>
            <w:r w:rsidR="00192BFA" w:rsidRPr="008065C3">
              <w:rPr>
                <w:rFonts w:ascii="Times New Roman" w:hAnsi="Times New Roman" w:cs="Times New Roman"/>
                <w:color w:val="1F497D" w:themeColor="text2"/>
                <w:sz w:val="27"/>
                <w:szCs w:val="27"/>
              </w:rPr>
              <w:t>Data Sheet</w:t>
            </w:r>
            <w:r w:rsidR="00DF1CCC" w:rsidRPr="008065C3">
              <w:rPr>
                <w:rFonts w:ascii="Times New Roman" w:hAnsi="Times New Roman" w:cs="Times New Roman"/>
                <w:color w:val="1F497D" w:themeColor="text2"/>
                <w:sz w:val="27"/>
                <w:szCs w:val="27"/>
              </w:rPr>
              <w:t xml:space="preserve">, </w:t>
            </w:r>
            <w:r w:rsidR="00132B7A" w:rsidRPr="008065C3">
              <w:rPr>
                <w:rFonts w:ascii="Times New Roman" w:hAnsi="Times New Roman" w:cs="Times New Roman"/>
                <w:color w:val="1F497D" w:themeColor="text2"/>
                <w:sz w:val="27"/>
                <w:szCs w:val="27"/>
              </w:rPr>
              <w:t>(</w:t>
            </w:r>
            <w:r w:rsidR="00DF1CCC" w:rsidRPr="008065C3">
              <w:rPr>
                <w:rFonts w:ascii="Times New Roman" w:hAnsi="Times New Roman" w:cs="Times New Roman"/>
                <w:color w:val="1F497D" w:themeColor="text2"/>
                <w:sz w:val="27"/>
                <w:szCs w:val="27"/>
              </w:rPr>
              <w:t>2</w:t>
            </w:r>
            <w:r w:rsidR="00132B7A" w:rsidRPr="008065C3">
              <w:rPr>
                <w:rFonts w:ascii="Times New Roman" w:hAnsi="Times New Roman" w:cs="Times New Roman"/>
                <w:color w:val="1F497D" w:themeColor="text2"/>
                <w:sz w:val="27"/>
                <w:szCs w:val="27"/>
              </w:rPr>
              <w:t>) Reduction Actions, (</w:t>
            </w:r>
            <w:r w:rsidR="00DF1CCC" w:rsidRPr="008065C3">
              <w:rPr>
                <w:rFonts w:ascii="Times New Roman" w:hAnsi="Times New Roman" w:cs="Times New Roman"/>
                <w:color w:val="1F497D" w:themeColor="text2"/>
                <w:sz w:val="27"/>
                <w:szCs w:val="27"/>
              </w:rPr>
              <w:t>3</w:t>
            </w:r>
            <w:r w:rsidR="00132B7A" w:rsidRPr="008065C3">
              <w:rPr>
                <w:rFonts w:ascii="Times New Roman" w:hAnsi="Times New Roman" w:cs="Times New Roman"/>
                <w:color w:val="1F497D" w:themeColor="text2"/>
                <w:sz w:val="27"/>
                <w:szCs w:val="27"/>
              </w:rPr>
              <w:t>) New Funds and (</w:t>
            </w:r>
            <w:r w:rsidR="00DF1CCC" w:rsidRPr="008065C3">
              <w:rPr>
                <w:rFonts w:ascii="Times New Roman" w:hAnsi="Times New Roman" w:cs="Times New Roman"/>
                <w:color w:val="1F497D" w:themeColor="text2"/>
                <w:sz w:val="27"/>
                <w:szCs w:val="27"/>
              </w:rPr>
              <w:t>4</w:t>
            </w:r>
            <w:r w:rsidR="008065C3">
              <w:rPr>
                <w:rFonts w:ascii="Times New Roman" w:hAnsi="Times New Roman" w:cs="Times New Roman"/>
                <w:color w:val="1F497D" w:themeColor="text2"/>
                <w:sz w:val="27"/>
                <w:szCs w:val="27"/>
              </w:rPr>
              <w:t>) Facility Needs.</w:t>
            </w:r>
          </w:p>
        </w:tc>
      </w:tr>
    </w:tbl>
    <w:p w:rsidR="00BE1086" w:rsidRDefault="00BE1086" w:rsidP="008065C3"/>
    <w:sectPr w:rsidR="00BE1086" w:rsidSect="000E0D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FA" w:rsidRDefault="00B168FA" w:rsidP="00C901DF">
      <w:r>
        <w:separator/>
      </w:r>
    </w:p>
  </w:endnote>
  <w:endnote w:type="continuationSeparator" w:id="0">
    <w:p w:rsidR="00B168FA" w:rsidRDefault="00B168FA" w:rsidP="00C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80583"/>
      <w:docPartObj>
        <w:docPartGallery w:val="Page Numbers (Bottom of Page)"/>
        <w:docPartUnique/>
      </w:docPartObj>
    </w:sdtPr>
    <w:sdtEndPr>
      <w:rPr>
        <w:color w:val="808080" w:themeColor="background1" w:themeShade="80"/>
        <w:spacing w:val="60"/>
      </w:rPr>
    </w:sdtEndPr>
    <w:sdtContent>
      <w:p w:rsidR="006B4815" w:rsidRDefault="006B48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7D43">
          <w:rPr>
            <w:noProof/>
          </w:rPr>
          <w:t>1</w:t>
        </w:r>
        <w:r>
          <w:rPr>
            <w:noProof/>
          </w:rPr>
          <w:fldChar w:fldCharType="end"/>
        </w:r>
        <w:r>
          <w:t xml:space="preserve"> | </w:t>
        </w:r>
        <w:r>
          <w:rPr>
            <w:color w:val="808080" w:themeColor="background1" w:themeShade="80"/>
            <w:spacing w:val="60"/>
          </w:rPr>
          <w:t>Page</w:t>
        </w:r>
      </w:p>
    </w:sdtContent>
  </w:sdt>
  <w:p w:rsidR="006B4815" w:rsidRDefault="006B4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FA" w:rsidRDefault="00B168FA" w:rsidP="00C901DF">
      <w:r>
        <w:separator/>
      </w:r>
    </w:p>
  </w:footnote>
  <w:footnote w:type="continuationSeparator" w:id="0">
    <w:p w:rsidR="00B168FA" w:rsidRDefault="00B168FA" w:rsidP="00C9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32"/>
        <w:szCs w:val="32"/>
      </w:rPr>
      <w:alias w:val="Title"/>
      <w:id w:val="77738743"/>
      <w:placeholder>
        <w:docPart w:val="FCF15910F6954E00929D7DA2E4EA074A"/>
      </w:placeholder>
      <w:dataBinding w:prefixMappings="xmlns:ns0='http://schemas.openxmlformats.org/package/2006/metadata/core-properties' xmlns:ns1='http://purl.org/dc/elements/1.1/'" w:xpath="/ns0:coreProperties[1]/ns1:title[1]" w:storeItemID="{6C3C8BC8-F283-45AE-878A-BAB7291924A1}"/>
      <w:text/>
    </w:sdtPr>
    <w:sdtContent>
      <w:p w:rsidR="006B4815" w:rsidRDefault="006B4815" w:rsidP="00E961AD">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32"/>
            <w:szCs w:val="32"/>
          </w:rPr>
          <w:t xml:space="preserve">FY 2016 </w:t>
        </w:r>
        <w:r w:rsidRPr="00C901DF">
          <w:rPr>
            <w:rFonts w:ascii="Times New Roman" w:hAnsi="Times New Roman" w:cs="Times New Roman"/>
            <w:b/>
            <w:sz w:val="32"/>
            <w:szCs w:val="32"/>
          </w:rPr>
          <w:t>Budget Narrative</w:t>
        </w:r>
      </w:p>
    </w:sdtContent>
  </w:sdt>
  <w:p w:rsidR="006B4815" w:rsidRDefault="006B4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F0F"/>
    <w:multiLevelType w:val="hybridMultilevel"/>
    <w:tmpl w:val="91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6161A"/>
    <w:multiLevelType w:val="hybridMultilevel"/>
    <w:tmpl w:val="75F474C6"/>
    <w:lvl w:ilvl="0" w:tplc="B6C64272">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1347"/>
    <w:multiLevelType w:val="hybridMultilevel"/>
    <w:tmpl w:val="2B50F746"/>
    <w:lvl w:ilvl="0" w:tplc="83F60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8310E"/>
    <w:multiLevelType w:val="hybridMultilevel"/>
    <w:tmpl w:val="E13090D2"/>
    <w:lvl w:ilvl="0" w:tplc="667E82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E26867"/>
    <w:multiLevelType w:val="hybridMultilevel"/>
    <w:tmpl w:val="0E38B5BC"/>
    <w:lvl w:ilvl="0" w:tplc="3BEE6EB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3089E"/>
    <w:multiLevelType w:val="hybridMultilevel"/>
    <w:tmpl w:val="6072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36CD6"/>
    <w:multiLevelType w:val="hybridMultilevel"/>
    <w:tmpl w:val="C9BE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94A49"/>
    <w:multiLevelType w:val="hybridMultilevel"/>
    <w:tmpl w:val="418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12C53"/>
    <w:multiLevelType w:val="hybridMultilevel"/>
    <w:tmpl w:val="A116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11F3C"/>
    <w:multiLevelType w:val="hybridMultilevel"/>
    <w:tmpl w:val="930A73C8"/>
    <w:lvl w:ilvl="0" w:tplc="25BC02D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E18A6"/>
    <w:multiLevelType w:val="hybridMultilevel"/>
    <w:tmpl w:val="BE4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CE4332"/>
    <w:multiLevelType w:val="hybridMultilevel"/>
    <w:tmpl w:val="DEF041C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
  </w:num>
  <w:num w:numId="3">
    <w:abstractNumId w:val="3"/>
  </w:num>
  <w:num w:numId="4">
    <w:abstractNumId w:val="2"/>
  </w:num>
  <w:num w:numId="5">
    <w:abstractNumId w:val="4"/>
  </w:num>
  <w:num w:numId="6">
    <w:abstractNumId w:val="0"/>
  </w:num>
  <w:num w:numId="7">
    <w:abstractNumId w:val="8"/>
  </w:num>
  <w:num w:numId="8">
    <w:abstractNumId w:val="5"/>
  </w:num>
  <w:num w:numId="9">
    <w:abstractNumId w:val="9"/>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5"/>
    <w:rsid w:val="00011F16"/>
    <w:rsid w:val="00013618"/>
    <w:rsid w:val="00015385"/>
    <w:rsid w:val="000224DE"/>
    <w:rsid w:val="00030365"/>
    <w:rsid w:val="00035540"/>
    <w:rsid w:val="0004740B"/>
    <w:rsid w:val="00054526"/>
    <w:rsid w:val="000608B0"/>
    <w:rsid w:val="000637D8"/>
    <w:rsid w:val="00065A50"/>
    <w:rsid w:val="00067C8A"/>
    <w:rsid w:val="000746E5"/>
    <w:rsid w:val="000955E3"/>
    <w:rsid w:val="000A1216"/>
    <w:rsid w:val="000A6C7F"/>
    <w:rsid w:val="000B2668"/>
    <w:rsid w:val="000B4CDF"/>
    <w:rsid w:val="000C0101"/>
    <w:rsid w:val="000D042F"/>
    <w:rsid w:val="000E0DA8"/>
    <w:rsid w:val="000E4321"/>
    <w:rsid w:val="000F0E72"/>
    <w:rsid w:val="000F701E"/>
    <w:rsid w:val="00110D9B"/>
    <w:rsid w:val="00114643"/>
    <w:rsid w:val="001208D2"/>
    <w:rsid w:val="001217EB"/>
    <w:rsid w:val="00132B7A"/>
    <w:rsid w:val="00135C6F"/>
    <w:rsid w:val="00142E91"/>
    <w:rsid w:val="001449FF"/>
    <w:rsid w:val="001744C1"/>
    <w:rsid w:val="00175F57"/>
    <w:rsid w:val="00177F3B"/>
    <w:rsid w:val="00192510"/>
    <w:rsid w:val="00192BFA"/>
    <w:rsid w:val="00192CAB"/>
    <w:rsid w:val="001A574B"/>
    <w:rsid w:val="001B6DAA"/>
    <w:rsid w:val="001C2613"/>
    <w:rsid w:val="001D3C69"/>
    <w:rsid w:val="002057FB"/>
    <w:rsid w:val="002107E2"/>
    <w:rsid w:val="00226904"/>
    <w:rsid w:val="00230953"/>
    <w:rsid w:val="002367EF"/>
    <w:rsid w:val="002413C2"/>
    <w:rsid w:val="00241D44"/>
    <w:rsid w:val="00243FA5"/>
    <w:rsid w:val="0025171A"/>
    <w:rsid w:val="00253BA4"/>
    <w:rsid w:val="002635B4"/>
    <w:rsid w:val="002650B7"/>
    <w:rsid w:val="002659C4"/>
    <w:rsid w:val="0027015E"/>
    <w:rsid w:val="002A3BFE"/>
    <w:rsid w:val="002A47F4"/>
    <w:rsid w:val="002A6A5E"/>
    <w:rsid w:val="002B27C5"/>
    <w:rsid w:val="002C159C"/>
    <w:rsid w:val="002C3C3C"/>
    <w:rsid w:val="002D389F"/>
    <w:rsid w:val="002D3B46"/>
    <w:rsid w:val="002D498C"/>
    <w:rsid w:val="002D667A"/>
    <w:rsid w:val="002D6BCE"/>
    <w:rsid w:val="002E5E17"/>
    <w:rsid w:val="002F6ECC"/>
    <w:rsid w:val="00300F35"/>
    <w:rsid w:val="00307374"/>
    <w:rsid w:val="00320580"/>
    <w:rsid w:val="003310AD"/>
    <w:rsid w:val="00332091"/>
    <w:rsid w:val="003345C3"/>
    <w:rsid w:val="00343035"/>
    <w:rsid w:val="00346FDB"/>
    <w:rsid w:val="00373326"/>
    <w:rsid w:val="00385779"/>
    <w:rsid w:val="00392E84"/>
    <w:rsid w:val="003B5AAC"/>
    <w:rsid w:val="003B7BDF"/>
    <w:rsid w:val="003C1A1F"/>
    <w:rsid w:val="003C49A7"/>
    <w:rsid w:val="003F5AC2"/>
    <w:rsid w:val="004067D4"/>
    <w:rsid w:val="00425F1B"/>
    <w:rsid w:val="00443AC0"/>
    <w:rsid w:val="00446EB9"/>
    <w:rsid w:val="00447CA1"/>
    <w:rsid w:val="0045573A"/>
    <w:rsid w:val="00464135"/>
    <w:rsid w:val="0046531A"/>
    <w:rsid w:val="00470694"/>
    <w:rsid w:val="00473C15"/>
    <w:rsid w:val="0048372D"/>
    <w:rsid w:val="00490C5F"/>
    <w:rsid w:val="00494166"/>
    <w:rsid w:val="00497574"/>
    <w:rsid w:val="004A2F29"/>
    <w:rsid w:val="004A358A"/>
    <w:rsid w:val="004A4484"/>
    <w:rsid w:val="004B7487"/>
    <w:rsid w:val="004E2E34"/>
    <w:rsid w:val="00527314"/>
    <w:rsid w:val="005334DA"/>
    <w:rsid w:val="00534853"/>
    <w:rsid w:val="00535476"/>
    <w:rsid w:val="00535A87"/>
    <w:rsid w:val="00556152"/>
    <w:rsid w:val="0055647A"/>
    <w:rsid w:val="005674B6"/>
    <w:rsid w:val="00586B47"/>
    <w:rsid w:val="005877D3"/>
    <w:rsid w:val="00596F5F"/>
    <w:rsid w:val="00597BE4"/>
    <w:rsid w:val="005A10C8"/>
    <w:rsid w:val="005B3009"/>
    <w:rsid w:val="005C53E7"/>
    <w:rsid w:val="005D3DF7"/>
    <w:rsid w:val="005D6109"/>
    <w:rsid w:val="005E0178"/>
    <w:rsid w:val="005E7847"/>
    <w:rsid w:val="006051DB"/>
    <w:rsid w:val="00605CC4"/>
    <w:rsid w:val="00606B7C"/>
    <w:rsid w:val="006152F1"/>
    <w:rsid w:val="00627D5C"/>
    <w:rsid w:val="00635B54"/>
    <w:rsid w:val="00635DDD"/>
    <w:rsid w:val="006369C3"/>
    <w:rsid w:val="0064602E"/>
    <w:rsid w:val="00646AB8"/>
    <w:rsid w:val="00647A44"/>
    <w:rsid w:val="00652C71"/>
    <w:rsid w:val="006611F8"/>
    <w:rsid w:val="0066201A"/>
    <w:rsid w:val="00670CCD"/>
    <w:rsid w:val="00672B6D"/>
    <w:rsid w:val="006A16C8"/>
    <w:rsid w:val="006B4815"/>
    <w:rsid w:val="006C66F9"/>
    <w:rsid w:val="006C6C46"/>
    <w:rsid w:val="006E2A5B"/>
    <w:rsid w:val="006F4E99"/>
    <w:rsid w:val="006F5562"/>
    <w:rsid w:val="0070017A"/>
    <w:rsid w:val="00704042"/>
    <w:rsid w:val="00706657"/>
    <w:rsid w:val="00714517"/>
    <w:rsid w:val="00715C8F"/>
    <w:rsid w:val="007202AD"/>
    <w:rsid w:val="0073318C"/>
    <w:rsid w:val="007425AF"/>
    <w:rsid w:val="00746FD2"/>
    <w:rsid w:val="00754379"/>
    <w:rsid w:val="00760464"/>
    <w:rsid w:val="0076100B"/>
    <w:rsid w:val="0076388B"/>
    <w:rsid w:val="007666B7"/>
    <w:rsid w:val="00770538"/>
    <w:rsid w:val="0078134B"/>
    <w:rsid w:val="00795971"/>
    <w:rsid w:val="007A4199"/>
    <w:rsid w:val="007B2B63"/>
    <w:rsid w:val="007B7C58"/>
    <w:rsid w:val="007C10EE"/>
    <w:rsid w:val="007C2836"/>
    <w:rsid w:val="007C2891"/>
    <w:rsid w:val="007C6569"/>
    <w:rsid w:val="007D1063"/>
    <w:rsid w:val="007D4652"/>
    <w:rsid w:val="007D4F4F"/>
    <w:rsid w:val="007F0FF0"/>
    <w:rsid w:val="007F2F0E"/>
    <w:rsid w:val="007F3F3C"/>
    <w:rsid w:val="008065C3"/>
    <w:rsid w:val="008076F7"/>
    <w:rsid w:val="00810348"/>
    <w:rsid w:val="00813BAC"/>
    <w:rsid w:val="00836AD2"/>
    <w:rsid w:val="00842643"/>
    <w:rsid w:val="00855A22"/>
    <w:rsid w:val="00861F7C"/>
    <w:rsid w:val="0086505E"/>
    <w:rsid w:val="00873EBF"/>
    <w:rsid w:val="00876693"/>
    <w:rsid w:val="00881077"/>
    <w:rsid w:val="008862E0"/>
    <w:rsid w:val="008906D3"/>
    <w:rsid w:val="00890829"/>
    <w:rsid w:val="00894222"/>
    <w:rsid w:val="008A07C1"/>
    <w:rsid w:val="008A1814"/>
    <w:rsid w:val="008A5D59"/>
    <w:rsid w:val="008C268D"/>
    <w:rsid w:val="008C4B65"/>
    <w:rsid w:val="008C4FA3"/>
    <w:rsid w:val="008C6EF3"/>
    <w:rsid w:val="008D1026"/>
    <w:rsid w:val="008E2894"/>
    <w:rsid w:val="008E6080"/>
    <w:rsid w:val="00922ADB"/>
    <w:rsid w:val="00923514"/>
    <w:rsid w:val="0092577C"/>
    <w:rsid w:val="00927CD7"/>
    <w:rsid w:val="0093659B"/>
    <w:rsid w:val="00940A65"/>
    <w:rsid w:val="0094503D"/>
    <w:rsid w:val="00945D56"/>
    <w:rsid w:val="00947F77"/>
    <w:rsid w:val="0095742C"/>
    <w:rsid w:val="00960A77"/>
    <w:rsid w:val="00962B09"/>
    <w:rsid w:val="00962E95"/>
    <w:rsid w:val="00967895"/>
    <w:rsid w:val="009803D5"/>
    <w:rsid w:val="00991D50"/>
    <w:rsid w:val="009A08AA"/>
    <w:rsid w:val="009A1EF3"/>
    <w:rsid w:val="009A4BBC"/>
    <w:rsid w:val="009A5E9D"/>
    <w:rsid w:val="009A6171"/>
    <w:rsid w:val="009B3951"/>
    <w:rsid w:val="009B63A8"/>
    <w:rsid w:val="009B6B75"/>
    <w:rsid w:val="009B7B0F"/>
    <w:rsid w:val="009B7C42"/>
    <w:rsid w:val="009C2543"/>
    <w:rsid w:val="009C5A06"/>
    <w:rsid w:val="009D4F6F"/>
    <w:rsid w:val="009E00B9"/>
    <w:rsid w:val="009E0ECB"/>
    <w:rsid w:val="009F44BD"/>
    <w:rsid w:val="00A17D43"/>
    <w:rsid w:val="00A2045B"/>
    <w:rsid w:val="00A21DB9"/>
    <w:rsid w:val="00A261EA"/>
    <w:rsid w:val="00A32514"/>
    <w:rsid w:val="00A377FB"/>
    <w:rsid w:val="00A41907"/>
    <w:rsid w:val="00A4462E"/>
    <w:rsid w:val="00A724BB"/>
    <w:rsid w:val="00A74A85"/>
    <w:rsid w:val="00A800E3"/>
    <w:rsid w:val="00A8041E"/>
    <w:rsid w:val="00A81374"/>
    <w:rsid w:val="00A830D3"/>
    <w:rsid w:val="00A9190A"/>
    <w:rsid w:val="00AA4AD2"/>
    <w:rsid w:val="00AB79B1"/>
    <w:rsid w:val="00AC5C61"/>
    <w:rsid w:val="00AD031D"/>
    <w:rsid w:val="00AF55C5"/>
    <w:rsid w:val="00AF5A91"/>
    <w:rsid w:val="00B00288"/>
    <w:rsid w:val="00B00A27"/>
    <w:rsid w:val="00B010C2"/>
    <w:rsid w:val="00B02E25"/>
    <w:rsid w:val="00B10C07"/>
    <w:rsid w:val="00B15920"/>
    <w:rsid w:val="00B166C3"/>
    <w:rsid w:val="00B168FA"/>
    <w:rsid w:val="00B27DFA"/>
    <w:rsid w:val="00B343B0"/>
    <w:rsid w:val="00B4033E"/>
    <w:rsid w:val="00B43D17"/>
    <w:rsid w:val="00B46BB0"/>
    <w:rsid w:val="00B47BBA"/>
    <w:rsid w:val="00B51F35"/>
    <w:rsid w:val="00B73FAF"/>
    <w:rsid w:val="00B74EAA"/>
    <w:rsid w:val="00B75319"/>
    <w:rsid w:val="00B84640"/>
    <w:rsid w:val="00B91588"/>
    <w:rsid w:val="00B959C1"/>
    <w:rsid w:val="00BA5260"/>
    <w:rsid w:val="00BA6C0F"/>
    <w:rsid w:val="00BB69AB"/>
    <w:rsid w:val="00BC2661"/>
    <w:rsid w:val="00BC7D98"/>
    <w:rsid w:val="00BD4CD0"/>
    <w:rsid w:val="00BD694E"/>
    <w:rsid w:val="00BE063D"/>
    <w:rsid w:val="00BE0F20"/>
    <w:rsid w:val="00BE1086"/>
    <w:rsid w:val="00BE6A34"/>
    <w:rsid w:val="00BF30AB"/>
    <w:rsid w:val="00BF40CC"/>
    <w:rsid w:val="00BF64EA"/>
    <w:rsid w:val="00C01B11"/>
    <w:rsid w:val="00C05D4F"/>
    <w:rsid w:val="00C064B8"/>
    <w:rsid w:val="00C1140F"/>
    <w:rsid w:val="00C1606A"/>
    <w:rsid w:val="00C2224D"/>
    <w:rsid w:val="00C24200"/>
    <w:rsid w:val="00C34635"/>
    <w:rsid w:val="00C47B22"/>
    <w:rsid w:val="00C571ED"/>
    <w:rsid w:val="00C5724E"/>
    <w:rsid w:val="00C63376"/>
    <w:rsid w:val="00C6466C"/>
    <w:rsid w:val="00C652D0"/>
    <w:rsid w:val="00C653DA"/>
    <w:rsid w:val="00C6652D"/>
    <w:rsid w:val="00C7115D"/>
    <w:rsid w:val="00C71C7B"/>
    <w:rsid w:val="00C73ED0"/>
    <w:rsid w:val="00C901DF"/>
    <w:rsid w:val="00C944BD"/>
    <w:rsid w:val="00CA62F7"/>
    <w:rsid w:val="00CB4832"/>
    <w:rsid w:val="00CB4F5E"/>
    <w:rsid w:val="00CC72B0"/>
    <w:rsid w:val="00CD41E7"/>
    <w:rsid w:val="00CE2D54"/>
    <w:rsid w:val="00D03F62"/>
    <w:rsid w:val="00D63320"/>
    <w:rsid w:val="00D661D6"/>
    <w:rsid w:val="00D67B48"/>
    <w:rsid w:val="00D67F4A"/>
    <w:rsid w:val="00D76A15"/>
    <w:rsid w:val="00D7756C"/>
    <w:rsid w:val="00D8005F"/>
    <w:rsid w:val="00D86057"/>
    <w:rsid w:val="00DA67FE"/>
    <w:rsid w:val="00DB2995"/>
    <w:rsid w:val="00DC0A1C"/>
    <w:rsid w:val="00DC269F"/>
    <w:rsid w:val="00DC7A03"/>
    <w:rsid w:val="00DE43EC"/>
    <w:rsid w:val="00DF0B45"/>
    <w:rsid w:val="00DF1CCC"/>
    <w:rsid w:val="00DF419D"/>
    <w:rsid w:val="00DF4D9F"/>
    <w:rsid w:val="00E31EA5"/>
    <w:rsid w:val="00E333D8"/>
    <w:rsid w:val="00E41004"/>
    <w:rsid w:val="00E41811"/>
    <w:rsid w:val="00E50D7C"/>
    <w:rsid w:val="00E54937"/>
    <w:rsid w:val="00E65716"/>
    <w:rsid w:val="00E66A67"/>
    <w:rsid w:val="00E72F30"/>
    <w:rsid w:val="00E87BD5"/>
    <w:rsid w:val="00E939B8"/>
    <w:rsid w:val="00E961AD"/>
    <w:rsid w:val="00EB009C"/>
    <w:rsid w:val="00EB6AA1"/>
    <w:rsid w:val="00EB7566"/>
    <w:rsid w:val="00EC3F6B"/>
    <w:rsid w:val="00ED4089"/>
    <w:rsid w:val="00EF008A"/>
    <w:rsid w:val="00EF65ED"/>
    <w:rsid w:val="00F11BE9"/>
    <w:rsid w:val="00F17755"/>
    <w:rsid w:val="00F24186"/>
    <w:rsid w:val="00F26CB4"/>
    <w:rsid w:val="00F27784"/>
    <w:rsid w:val="00F3015B"/>
    <w:rsid w:val="00F321C6"/>
    <w:rsid w:val="00F35200"/>
    <w:rsid w:val="00F35CF3"/>
    <w:rsid w:val="00F3613E"/>
    <w:rsid w:val="00F3669F"/>
    <w:rsid w:val="00F47D54"/>
    <w:rsid w:val="00F53ECC"/>
    <w:rsid w:val="00F643CD"/>
    <w:rsid w:val="00F66685"/>
    <w:rsid w:val="00F6762D"/>
    <w:rsid w:val="00F77ED9"/>
    <w:rsid w:val="00F91F7C"/>
    <w:rsid w:val="00F94C2F"/>
    <w:rsid w:val="00FA36CB"/>
    <w:rsid w:val="00FA6655"/>
    <w:rsid w:val="00FB3779"/>
    <w:rsid w:val="00FB5331"/>
    <w:rsid w:val="00FD18D2"/>
    <w:rsid w:val="00FD7130"/>
    <w:rsid w:val="00FE10C1"/>
    <w:rsid w:val="00FE1E87"/>
    <w:rsid w:val="00FE2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A6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1DF"/>
    <w:pPr>
      <w:tabs>
        <w:tab w:val="center" w:pos="4680"/>
        <w:tab w:val="right" w:pos="9360"/>
      </w:tabs>
    </w:pPr>
  </w:style>
  <w:style w:type="character" w:customStyle="1" w:styleId="HeaderChar">
    <w:name w:val="Header Char"/>
    <w:basedOn w:val="DefaultParagraphFont"/>
    <w:link w:val="Header"/>
    <w:uiPriority w:val="99"/>
    <w:rsid w:val="00C901DF"/>
    <w:rPr>
      <w:rFonts w:ascii="Calibri" w:hAnsi="Calibri" w:cs="Calibri"/>
    </w:rPr>
  </w:style>
  <w:style w:type="paragraph" w:styleId="Footer">
    <w:name w:val="footer"/>
    <w:basedOn w:val="Normal"/>
    <w:link w:val="FooterChar"/>
    <w:uiPriority w:val="99"/>
    <w:unhideWhenUsed/>
    <w:rsid w:val="00C901DF"/>
    <w:pPr>
      <w:tabs>
        <w:tab w:val="center" w:pos="4680"/>
        <w:tab w:val="right" w:pos="9360"/>
      </w:tabs>
    </w:pPr>
  </w:style>
  <w:style w:type="character" w:customStyle="1" w:styleId="FooterChar">
    <w:name w:val="Footer Char"/>
    <w:basedOn w:val="DefaultParagraphFont"/>
    <w:link w:val="Footer"/>
    <w:uiPriority w:val="99"/>
    <w:rsid w:val="00C901DF"/>
    <w:rPr>
      <w:rFonts w:ascii="Calibri" w:hAnsi="Calibri" w:cs="Calibri"/>
    </w:rPr>
  </w:style>
  <w:style w:type="paragraph" w:styleId="BalloonText">
    <w:name w:val="Balloon Text"/>
    <w:basedOn w:val="Normal"/>
    <w:link w:val="BalloonTextChar"/>
    <w:uiPriority w:val="99"/>
    <w:semiHidden/>
    <w:unhideWhenUsed/>
    <w:rsid w:val="00C901DF"/>
    <w:rPr>
      <w:rFonts w:ascii="Tahoma" w:hAnsi="Tahoma" w:cs="Tahoma"/>
      <w:sz w:val="16"/>
      <w:szCs w:val="16"/>
    </w:rPr>
  </w:style>
  <w:style w:type="character" w:customStyle="1" w:styleId="BalloonTextChar">
    <w:name w:val="Balloon Text Char"/>
    <w:basedOn w:val="DefaultParagraphFont"/>
    <w:link w:val="BalloonText"/>
    <w:uiPriority w:val="99"/>
    <w:semiHidden/>
    <w:rsid w:val="00C901DF"/>
    <w:rPr>
      <w:rFonts w:ascii="Tahoma" w:hAnsi="Tahoma" w:cs="Tahoma"/>
      <w:sz w:val="16"/>
      <w:szCs w:val="16"/>
    </w:rPr>
  </w:style>
  <w:style w:type="character" w:customStyle="1" w:styleId="st1">
    <w:name w:val="st1"/>
    <w:basedOn w:val="DefaultParagraphFont"/>
    <w:rsid w:val="005A10C8"/>
  </w:style>
  <w:style w:type="paragraph" w:styleId="ListParagraph">
    <w:name w:val="List Paragraph"/>
    <w:basedOn w:val="Normal"/>
    <w:uiPriority w:val="34"/>
    <w:qFormat/>
    <w:rsid w:val="00605CC4"/>
    <w:pPr>
      <w:ind w:left="720"/>
      <w:contextualSpacing/>
    </w:pPr>
  </w:style>
  <w:style w:type="paragraph" w:styleId="NoSpacing">
    <w:name w:val="No Spacing"/>
    <w:uiPriority w:val="1"/>
    <w:qFormat/>
    <w:rsid w:val="000637D8"/>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A6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1DF"/>
    <w:pPr>
      <w:tabs>
        <w:tab w:val="center" w:pos="4680"/>
        <w:tab w:val="right" w:pos="9360"/>
      </w:tabs>
    </w:pPr>
  </w:style>
  <w:style w:type="character" w:customStyle="1" w:styleId="HeaderChar">
    <w:name w:val="Header Char"/>
    <w:basedOn w:val="DefaultParagraphFont"/>
    <w:link w:val="Header"/>
    <w:uiPriority w:val="99"/>
    <w:rsid w:val="00C901DF"/>
    <w:rPr>
      <w:rFonts w:ascii="Calibri" w:hAnsi="Calibri" w:cs="Calibri"/>
    </w:rPr>
  </w:style>
  <w:style w:type="paragraph" w:styleId="Footer">
    <w:name w:val="footer"/>
    <w:basedOn w:val="Normal"/>
    <w:link w:val="FooterChar"/>
    <w:uiPriority w:val="99"/>
    <w:unhideWhenUsed/>
    <w:rsid w:val="00C901DF"/>
    <w:pPr>
      <w:tabs>
        <w:tab w:val="center" w:pos="4680"/>
        <w:tab w:val="right" w:pos="9360"/>
      </w:tabs>
    </w:pPr>
  </w:style>
  <w:style w:type="character" w:customStyle="1" w:styleId="FooterChar">
    <w:name w:val="Footer Char"/>
    <w:basedOn w:val="DefaultParagraphFont"/>
    <w:link w:val="Footer"/>
    <w:uiPriority w:val="99"/>
    <w:rsid w:val="00C901DF"/>
    <w:rPr>
      <w:rFonts w:ascii="Calibri" w:hAnsi="Calibri" w:cs="Calibri"/>
    </w:rPr>
  </w:style>
  <w:style w:type="paragraph" w:styleId="BalloonText">
    <w:name w:val="Balloon Text"/>
    <w:basedOn w:val="Normal"/>
    <w:link w:val="BalloonTextChar"/>
    <w:uiPriority w:val="99"/>
    <w:semiHidden/>
    <w:unhideWhenUsed/>
    <w:rsid w:val="00C901DF"/>
    <w:rPr>
      <w:rFonts w:ascii="Tahoma" w:hAnsi="Tahoma" w:cs="Tahoma"/>
      <w:sz w:val="16"/>
      <w:szCs w:val="16"/>
    </w:rPr>
  </w:style>
  <w:style w:type="character" w:customStyle="1" w:styleId="BalloonTextChar">
    <w:name w:val="Balloon Text Char"/>
    <w:basedOn w:val="DefaultParagraphFont"/>
    <w:link w:val="BalloonText"/>
    <w:uiPriority w:val="99"/>
    <w:semiHidden/>
    <w:rsid w:val="00C901DF"/>
    <w:rPr>
      <w:rFonts w:ascii="Tahoma" w:hAnsi="Tahoma" w:cs="Tahoma"/>
      <w:sz w:val="16"/>
      <w:szCs w:val="16"/>
    </w:rPr>
  </w:style>
  <w:style w:type="character" w:customStyle="1" w:styleId="st1">
    <w:name w:val="st1"/>
    <w:basedOn w:val="DefaultParagraphFont"/>
    <w:rsid w:val="005A10C8"/>
  </w:style>
  <w:style w:type="paragraph" w:styleId="ListParagraph">
    <w:name w:val="List Paragraph"/>
    <w:basedOn w:val="Normal"/>
    <w:uiPriority w:val="34"/>
    <w:qFormat/>
    <w:rsid w:val="00605CC4"/>
    <w:pPr>
      <w:ind w:left="720"/>
      <w:contextualSpacing/>
    </w:pPr>
  </w:style>
  <w:style w:type="paragraph" w:styleId="NoSpacing">
    <w:name w:val="No Spacing"/>
    <w:uiPriority w:val="1"/>
    <w:qFormat/>
    <w:rsid w:val="000637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165">
      <w:bodyDiv w:val="1"/>
      <w:marLeft w:val="0"/>
      <w:marRight w:val="0"/>
      <w:marTop w:val="0"/>
      <w:marBottom w:val="0"/>
      <w:divBdr>
        <w:top w:val="none" w:sz="0" w:space="0" w:color="auto"/>
        <w:left w:val="none" w:sz="0" w:space="0" w:color="auto"/>
        <w:bottom w:val="none" w:sz="0" w:space="0" w:color="auto"/>
        <w:right w:val="none" w:sz="0" w:space="0" w:color="auto"/>
      </w:divBdr>
    </w:div>
    <w:div w:id="409548922">
      <w:bodyDiv w:val="1"/>
      <w:marLeft w:val="0"/>
      <w:marRight w:val="0"/>
      <w:marTop w:val="0"/>
      <w:marBottom w:val="0"/>
      <w:divBdr>
        <w:top w:val="none" w:sz="0" w:space="0" w:color="auto"/>
        <w:left w:val="none" w:sz="0" w:space="0" w:color="auto"/>
        <w:bottom w:val="none" w:sz="0" w:space="0" w:color="auto"/>
        <w:right w:val="none" w:sz="0" w:space="0" w:color="auto"/>
      </w:divBdr>
    </w:div>
    <w:div w:id="419760899">
      <w:bodyDiv w:val="1"/>
      <w:marLeft w:val="0"/>
      <w:marRight w:val="0"/>
      <w:marTop w:val="0"/>
      <w:marBottom w:val="0"/>
      <w:divBdr>
        <w:top w:val="none" w:sz="0" w:space="0" w:color="auto"/>
        <w:left w:val="none" w:sz="0" w:space="0" w:color="auto"/>
        <w:bottom w:val="none" w:sz="0" w:space="0" w:color="auto"/>
        <w:right w:val="none" w:sz="0" w:space="0" w:color="auto"/>
      </w:divBdr>
    </w:div>
    <w:div w:id="995762336">
      <w:bodyDiv w:val="1"/>
      <w:marLeft w:val="0"/>
      <w:marRight w:val="0"/>
      <w:marTop w:val="0"/>
      <w:marBottom w:val="0"/>
      <w:divBdr>
        <w:top w:val="none" w:sz="0" w:space="0" w:color="auto"/>
        <w:left w:val="none" w:sz="0" w:space="0" w:color="auto"/>
        <w:bottom w:val="none" w:sz="0" w:space="0" w:color="auto"/>
        <w:right w:val="none" w:sz="0" w:space="0" w:color="auto"/>
      </w:divBdr>
    </w:div>
    <w:div w:id="1699693964">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2056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F15910F6954E00929D7DA2E4EA074A"/>
        <w:category>
          <w:name w:val="General"/>
          <w:gallery w:val="placeholder"/>
        </w:category>
        <w:types>
          <w:type w:val="bbPlcHdr"/>
        </w:types>
        <w:behaviors>
          <w:behavior w:val="content"/>
        </w:behaviors>
        <w:guid w:val="{44F10670-B134-4C19-9658-C2E18EEAA262}"/>
      </w:docPartPr>
      <w:docPartBody>
        <w:p w:rsidR="003C4330" w:rsidRDefault="000E1CCD" w:rsidP="000E1CCD">
          <w:pPr>
            <w:pStyle w:val="FCF15910F6954E00929D7DA2E4EA074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E1CCD"/>
    <w:rsid w:val="000E1CCD"/>
    <w:rsid w:val="001201F0"/>
    <w:rsid w:val="001C07F2"/>
    <w:rsid w:val="00235CC8"/>
    <w:rsid w:val="002F2CF8"/>
    <w:rsid w:val="00304A2F"/>
    <w:rsid w:val="003400D9"/>
    <w:rsid w:val="00382A38"/>
    <w:rsid w:val="003C4330"/>
    <w:rsid w:val="00437D80"/>
    <w:rsid w:val="00494990"/>
    <w:rsid w:val="004B5C36"/>
    <w:rsid w:val="004E4999"/>
    <w:rsid w:val="005564D5"/>
    <w:rsid w:val="005B15AF"/>
    <w:rsid w:val="006448D6"/>
    <w:rsid w:val="00661E9E"/>
    <w:rsid w:val="006A4833"/>
    <w:rsid w:val="006D3893"/>
    <w:rsid w:val="00770E16"/>
    <w:rsid w:val="007924A0"/>
    <w:rsid w:val="00982E3C"/>
    <w:rsid w:val="00A43886"/>
    <w:rsid w:val="00AF49E8"/>
    <w:rsid w:val="00BF6D1C"/>
    <w:rsid w:val="00C05352"/>
    <w:rsid w:val="00C340E6"/>
    <w:rsid w:val="00CB194F"/>
    <w:rsid w:val="00D2601D"/>
    <w:rsid w:val="00D56434"/>
    <w:rsid w:val="00DF4218"/>
    <w:rsid w:val="00E55C76"/>
    <w:rsid w:val="00EE5C76"/>
    <w:rsid w:val="00EF781A"/>
    <w:rsid w:val="00F40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5910F6954E00929D7DA2E4EA074A">
    <w:name w:val="FCF15910F6954E00929D7DA2E4EA074A"/>
    <w:rsid w:val="000E1C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0391-F5C6-4FEC-973B-14478907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9804</Words>
  <Characters>55884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FY 2016 Budget Narrative</vt:lpstr>
    </vt:vector>
  </TitlesOfParts>
  <Company>Clayton State University</Company>
  <LinksUpToDate>false</LinksUpToDate>
  <CharactersWithSpaces>65557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 Budget Narrative</dc:title>
  <dc:creator>borsots</dc:creator>
  <cp:lastModifiedBy>Kelly Adams</cp:lastModifiedBy>
  <cp:revision>3</cp:revision>
  <cp:lastPrinted>2014-10-24T17:31:00Z</cp:lastPrinted>
  <dcterms:created xsi:type="dcterms:W3CDTF">2014-10-24T20:38:00Z</dcterms:created>
  <dcterms:modified xsi:type="dcterms:W3CDTF">2014-10-24T20:40:00Z</dcterms:modified>
</cp:coreProperties>
</file>