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34077E" w:rsidP="0034077E">
      <w:pPr>
        <w:jc w:val="center"/>
      </w:pPr>
      <w:r>
        <w:t>President’s Report</w:t>
      </w:r>
    </w:p>
    <w:p w:rsidR="0034077E" w:rsidRDefault="0034077E" w:rsidP="0034077E">
      <w:pPr>
        <w:jc w:val="center"/>
      </w:pPr>
      <w:r>
        <w:t>November 1</w:t>
      </w:r>
      <w:r w:rsidR="00501BFE">
        <w:t>1</w:t>
      </w:r>
      <w:r>
        <w:t>, 2010</w:t>
      </w:r>
    </w:p>
    <w:p w:rsidR="0034077E" w:rsidRDefault="0034077E" w:rsidP="0034077E">
      <w:pPr>
        <w:jc w:val="center"/>
      </w:pPr>
      <w:r>
        <w:t>Faculty Senate</w:t>
      </w:r>
    </w:p>
    <w:p w:rsidR="0034077E" w:rsidRDefault="0034077E" w:rsidP="0034077E">
      <w:pPr>
        <w:jc w:val="center"/>
      </w:pPr>
    </w:p>
    <w:p w:rsidR="0034077E" w:rsidRDefault="0034077E" w:rsidP="0034077E">
      <w:pPr>
        <w:pStyle w:val="ListParagraph"/>
        <w:numPr>
          <w:ilvl w:val="0"/>
          <w:numId w:val="1"/>
        </w:numPr>
      </w:pPr>
      <w:r>
        <w:t>Acquisition of Clayton Place—The University Foundation has made a</w:t>
      </w:r>
      <w:r w:rsidR="00501BFE">
        <w:t xml:space="preserve"> tentative</w:t>
      </w:r>
      <w:r>
        <w:t xml:space="preserve"> offer to acquire the property Clayton Place.  This acquisition has been under discussion </w:t>
      </w:r>
      <w:r w:rsidR="00EE2F60">
        <w:t>for nearly a decade.  The acquisition was included as an option in the previously reviewed facilities master plan. Details on those plans will be provided at a later meeting. Plans do not presume to include any additional mandatory student residency.</w:t>
      </w:r>
    </w:p>
    <w:p w:rsidR="00EE2F60" w:rsidRDefault="00EE2F60" w:rsidP="0034077E">
      <w:pPr>
        <w:pStyle w:val="ListParagraph"/>
        <w:numPr>
          <w:ilvl w:val="0"/>
          <w:numId w:val="1"/>
        </w:numPr>
      </w:pPr>
      <w:r>
        <w:t>Strategic Plann</w:t>
      </w:r>
      <w:r w:rsidR="001A5EC9">
        <w:t>ing—Dr. Williams has shared a handout on the current discussion document from the Pappas group—Dr. Crafton has been working with various group to help to flesh out the academic plan considered in the document.  The goal is to focus at this point on some key data points, and to give some assurance that continued progress on strategic planning will be data driven. Draft documents on mission, vision and values will be circulated by the consultants in the next week or so.</w:t>
      </w:r>
    </w:p>
    <w:p w:rsidR="001A5EC9" w:rsidRPr="001A5EC9" w:rsidRDefault="001A5EC9" w:rsidP="0034077E">
      <w:pPr>
        <w:pStyle w:val="ListParagraph"/>
        <w:numPr>
          <w:ilvl w:val="0"/>
          <w:numId w:val="1"/>
        </w:numPr>
        <w:rPr>
          <w:u w:val="single"/>
        </w:rPr>
      </w:pPr>
      <w:r>
        <w:t xml:space="preserve">Performance based funding discussions—Dr. Keebler shared with me and a few others a </w:t>
      </w:r>
      <w:r w:rsidRPr="001A5EC9">
        <w:rPr>
          <w:u w:val="single"/>
        </w:rPr>
        <w:t xml:space="preserve">Wall Street Journal </w:t>
      </w:r>
      <w:r>
        <w:rPr>
          <w:u w:val="single"/>
        </w:rPr>
        <w:t xml:space="preserve"> piece</w:t>
      </w:r>
      <w:r>
        <w:t xml:space="preserve"> that described places in which performance funding was extended far beyond the measures shared at our last senate meeting—retention and graduation rates.  Within the article, performance was related to numbers of credit hours taught. We will not go in that direction. That data, however, is already gathered, and we would benefit from discussions about how to place that data in the broader context of our actions. With help, we can reframe the focus to student learning.</w:t>
      </w:r>
    </w:p>
    <w:sectPr w:rsidR="001A5EC9" w:rsidRPr="001A5EC9"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734F"/>
    <w:multiLevelType w:val="hybridMultilevel"/>
    <w:tmpl w:val="FE94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77E"/>
    <w:rsid w:val="0002068B"/>
    <w:rsid w:val="0008518D"/>
    <w:rsid w:val="001A5EC9"/>
    <w:rsid w:val="002574FF"/>
    <w:rsid w:val="0034077E"/>
    <w:rsid w:val="00420A96"/>
    <w:rsid w:val="0048674B"/>
    <w:rsid w:val="00501BFE"/>
    <w:rsid w:val="005C2028"/>
    <w:rsid w:val="00770AA4"/>
    <w:rsid w:val="00926C63"/>
    <w:rsid w:val="00C51927"/>
    <w:rsid w:val="00D34AB3"/>
    <w:rsid w:val="00DA4707"/>
    <w:rsid w:val="00EE2F60"/>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Company>Clayton State Univ</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vlancast</cp:lastModifiedBy>
  <cp:revision>2</cp:revision>
  <dcterms:created xsi:type="dcterms:W3CDTF">2010-11-17T22:21:00Z</dcterms:created>
  <dcterms:modified xsi:type="dcterms:W3CDTF">2010-11-17T22:21:00Z</dcterms:modified>
</cp:coreProperties>
</file>