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BCCF4" w14:textId="77777777" w:rsidR="0089130A" w:rsidRDefault="0089130A" w:rsidP="00655558">
      <w:pPr>
        <w:widowControl w:val="0"/>
        <w:autoSpaceDE w:val="0"/>
        <w:autoSpaceDN w:val="0"/>
        <w:adjustRightInd w:val="0"/>
        <w:spacing w:after="0" w:line="240" w:lineRule="auto"/>
        <w:ind w:right="-14"/>
        <w:rPr>
          <w:rFonts w:ascii="Times New Roman" w:eastAsia="MS PGothic" w:hAnsi="Times New Roman" w:cs="Times New Roman"/>
          <w:b/>
          <w:bCs/>
          <w:position w:val="-1"/>
          <w:sz w:val="24"/>
          <w:szCs w:val="24"/>
        </w:rPr>
      </w:pPr>
      <w:r w:rsidRPr="007443B7">
        <w:rPr>
          <w:rFonts w:ascii="Times New Roman" w:eastAsia="Times New Roman" w:hAnsi="Times New Roman" w:cs="Times New Roman"/>
          <w:b/>
          <w:sz w:val="24"/>
          <w:szCs w:val="24"/>
        </w:rPr>
        <w:t>Cost Transfers Involving Grants and Other Sponsored Programs</w:t>
      </w:r>
      <w:r w:rsidRPr="007443B7">
        <w:rPr>
          <w:rFonts w:ascii="Times New Roman" w:eastAsia="MS PGothic" w:hAnsi="Times New Roman" w:cs="Times New Roman"/>
          <w:b/>
          <w:bCs/>
          <w:position w:val="-1"/>
          <w:sz w:val="24"/>
          <w:szCs w:val="24"/>
        </w:rPr>
        <w:t xml:space="preserve"> </w:t>
      </w:r>
    </w:p>
    <w:p w14:paraId="712420CF" w14:textId="104AFB1A" w:rsidR="007443B7" w:rsidRPr="00043BBD" w:rsidRDefault="007443B7" w:rsidP="00655558">
      <w:pPr>
        <w:spacing w:before="120" w:after="0" w:line="240" w:lineRule="auto"/>
        <w:ind w:right="-43"/>
        <w:jc w:val="both"/>
        <w:rPr>
          <w:rFonts w:ascii="Times New Roman" w:eastAsia="Arial" w:hAnsi="Times New Roman" w:cs="Times New Roman"/>
          <w:sz w:val="24"/>
          <w:szCs w:val="24"/>
        </w:rPr>
      </w:pPr>
      <w:r w:rsidRPr="00043BBD">
        <w:rPr>
          <w:rFonts w:ascii="Times New Roman" w:eastAsia="Arial" w:hAnsi="Times New Roman" w:cs="Times New Roman"/>
          <w:b/>
          <w:bCs/>
          <w:color w:val="231F20"/>
          <w:sz w:val="24"/>
          <w:szCs w:val="24"/>
        </w:rPr>
        <w:t xml:space="preserve">What is a Cost Transfer? </w:t>
      </w:r>
      <w:r w:rsidRPr="00043BBD">
        <w:rPr>
          <w:rFonts w:ascii="Times New Roman" w:eastAsia="Arial" w:hAnsi="Times New Roman" w:cs="Times New Roman"/>
          <w:color w:val="231F20"/>
          <w:sz w:val="24"/>
          <w:szCs w:val="24"/>
        </w:rPr>
        <w:t xml:space="preserve">Cost transfers occur when expenditures are “moved” from one University </w:t>
      </w:r>
      <w:r w:rsidR="00043BBD">
        <w:rPr>
          <w:rFonts w:ascii="Times New Roman" w:eastAsia="Arial" w:hAnsi="Times New Roman" w:cs="Times New Roman"/>
          <w:color w:val="231F20"/>
          <w:sz w:val="24"/>
          <w:szCs w:val="24"/>
        </w:rPr>
        <w:t>depart</w:t>
      </w:r>
      <w:r w:rsidRPr="00043BBD">
        <w:rPr>
          <w:rFonts w:ascii="Times New Roman" w:eastAsia="Arial" w:hAnsi="Times New Roman" w:cs="Times New Roman"/>
          <w:color w:val="231F20"/>
          <w:sz w:val="24"/>
          <w:szCs w:val="24"/>
        </w:rPr>
        <w:t>ment or program to another. The administration of any cost transfer is important, especially when federal or state sponsored project funding is involved, because expenditures may only be charge</w:t>
      </w:r>
      <w:r w:rsidR="00043BBD">
        <w:rPr>
          <w:rFonts w:ascii="Times New Roman" w:eastAsia="Arial" w:hAnsi="Times New Roman" w:cs="Times New Roman"/>
          <w:color w:val="231F20"/>
          <w:sz w:val="24"/>
          <w:szCs w:val="24"/>
        </w:rPr>
        <w:t>d</w:t>
      </w:r>
      <w:r w:rsidRPr="00043BBD">
        <w:rPr>
          <w:rFonts w:ascii="Times New Roman" w:eastAsia="Arial" w:hAnsi="Times New Roman" w:cs="Times New Roman"/>
          <w:color w:val="231F20"/>
          <w:sz w:val="24"/>
          <w:szCs w:val="24"/>
        </w:rPr>
        <w:t xml:space="preserve"> to a particular grant or contract if they can be specifically identified with the funded activity they benefit.</w:t>
      </w:r>
    </w:p>
    <w:p w14:paraId="5FA5027A" w14:textId="74CF5F62" w:rsidR="007443B7" w:rsidRPr="00043BBD" w:rsidRDefault="007443B7" w:rsidP="00043BBD">
      <w:pPr>
        <w:spacing w:before="120" w:after="0" w:line="240" w:lineRule="auto"/>
        <w:ind w:right="-43"/>
        <w:jc w:val="both"/>
        <w:rPr>
          <w:rFonts w:ascii="Times New Roman" w:eastAsia="Arial" w:hAnsi="Times New Roman" w:cs="Times New Roman"/>
          <w:sz w:val="24"/>
          <w:szCs w:val="24"/>
        </w:rPr>
      </w:pPr>
      <w:r w:rsidRPr="00043BBD">
        <w:rPr>
          <w:rFonts w:ascii="Times New Roman" w:eastAsia="Arial" w:hAnsi="Times New Roman" w:cs="Times New Roman"/>
          <w:color w:val="231F20"/>
          <w:sz w:val="24"/>
          <w:szCs w:val="24"/>
        </w:rPr>
        <w:t>Office of Management and Budget Circular A-21 states that expenses “. . . may not be shifted to other sponsored agreement in order to me</w:t>
      </w:r>
      <w:r w:rsidR="00655558">
        <w:rPr>
          <w:rFonts w:ascii="Times New Roman" w:eastAsia="Arial" w:hAnsi="Times New Roman" w:cs="Times New Roman"/>
          <w:color w:val="231F20"/>
          <w:sz w:val="24"/>
          <w:szCs w:val="24"/>
        </w:rPr>
        <w:t>et deficiencies caused by over</w:t>
      </w:r>
      <w:r w:rsidRPr="00043BBD">
        <w:rPr>
          <w:rFonts w:ascii="Times New Roman" w:eastAsia="Arial" w:hAnsi="Times New Roman" w:cs="Times New Roman"/>
          <w:color w:val="231F20"/>
          <w:sz w:val="24"/>
          <w:szCs w:val="24"/>
        </w:rPr>
        <w:t xml:space="preserve">runs or other fund considerations, to avoid restrictions imposed by law or by terms of the sponsored agreement, or for other reasons of convenience.”   The Circular also pro- vides “Any cost allocable to activities sponsored by </w:t>
      </w:r>
      <w:r w:rsidR="00043BBD">
        <w:rPr>
          <w:rFonts w:ascii="Times New Roman" w:eastAsia="Arial" w:hAnsi="Times New Roman" w:cs="Times New Roman"/>
          <w:color w:val="231F20"/>
          <w:sz w:val="24"/>
          <w:szCs w:val="24"/>
        </w:rPr>
        <w:t>indus</w:t>
      </w:r>
      <w:r w:rsidRPr="00043BBD">
        <w:rPr>
          <w:rFonts w:ascii="Times New Roman" w:eastAsia="Arial" w:hAnsi="Times New Roman" w:cs="Times New Roman"/>
          <w:color w:val="231F20"/>
          <w:sz w:val="24"/>
          <w:szCs w:val="24"/>
        </w:rPr>
        <w:t>try, foreign governments or o</w:t>
      </w:r>
      <w:r w:rsidR="00655558">
        <w:rPr>
          <w:rFonts w:ascii="Times New Roman" w:eastAsia="Arial" w:hAnsi="Times New Roman" w:cs="Times New Roman"/>
          <w:color w:val="231F20"/>
          <w:sz w:val="24"/>
          <w:szCs w:val="24"/>
        </w:rPr>
        <w:t>ther sponsors may not be shift</w:t>
      </w:r>
      <w:r w:rsidRPr="00043BBD">
        <w:rPr>
          <w:rFonts w:ascii="Times New Roman" w:eastAsia="Arial" w:hAnsi="Times New Roman" w:cs="Times New Roman"/>
          <w:color w:val="231F20"/>
          <w:sz w:val="24"/>
          <w:szCs w:val="24"/>
        </w:rPr>
        <w:t>ed to federally sponsored agreements.”</w:t>
      </w:r>
    </w:p>
    <w:p w14:paraId="72019C8E" w14:textId="3D7FC4BE" w:rsidR="007443B7" w:rsidRPr="00043BBD" w:rsidRDefault="007443B7" w:rsidP="00043BBD">
      <w:pPr>
        <w:spacing w:before="120" w:after="0" w:line="240" w:lineRule="auto"/>
        <w:ind w:right="-43"/>
        <w:jc w:val="both"/>
        <w:rPr>
          <w:rFonts w:ascii="Times New Roman" w:eastAsia="Arial" w:hAnsi="Times New Roman" w:cs="Times New Roman"/>
          <w:sz w:val="24"/>
          <w:szCs w:val="24"/>
        </w:rPr>
      </w:pPr>
      <w:r w:rsidRPr="00043BBD">
        <w:rPr>
          <w:rFonts w:ascii="Times New Roman" w:eastAsia="Arial" w:hAnsi="Times New Roman" w:cs="Times New Roman"/>
          <w:color w:val="231F20"/>
          <w:sz w:val="24"/>
          <w:szCs w:val="24"/>
        </w:rPr>
        <w:t>When sponsored projects are audited, inappropriate or poorly documented cost transfers can result in the denial of reimbursement and/or sanctions against the University.</w:t>
      </w:r>
      <w:r w:rsidR="00043BBD">
        <w:rPr>
          <w:rFonts w:ascii="Times New Roman" w:eastAsia="Arial" w:hAnsi="Times New Roman" w:cs="Times New Roman"/>
          <w:color w:val="231F20"/>
          <w:sz w:val="24"/>
          <w:szCs w:val="24"/>
        </w:rPr>
        <w:t xml:space="preserve"> </w:t>
      </w:r>
      <w:r w:rsidRPr="00043BBD">
        <w:rPr>
          <w:rFonts w:ascii="Times New Roman" w:eastAsia="Arial" w:hAnsi="Times New Roman" w:cs="Times New Roman"/>
          <w:color w:val="231F20"/>
          <w:sz w:val="24"/>
          <w:szCs w:val="24"/>
        </w:rPr>
        <w:t xml:space="preserve">Cost transfers are considered exceptions and should occur infrequently. In general, effective financial </w:t>
      </w:r>
      <w:r w:rsidR="00043BBD">
        <w:rPr>
          <w:rFonts w:ascii="Times New Roman" w:eastAsia="Arial" w:hAnsi="Times New Roman" w:cs="Times New Roman"/>
          <w:color w:val="231F20"/>
          <w:sz w:val="24"/>
          <w:szCs w:val="24"/>
        </w:rPr>
        <w:t>manage</w:t>
      </w:r>
      <w:r w:rsidRPr="00043BBD">
        <w:rPr>
          <w:rFonts w:ascii="Times New Roman" w:eastAsia="Arial" w:hAnsi="Times New Roman" w:cs="Times New Roman"/>
          <w:color w:val="231F20"/>
          <w:sz w:val="24"/>
          <w:szCs w:val="24"/>
        </w:rPr>
        <w:t xml:space="preserve">ment should make cost transfers unnecessary; however, under certain circumstances, transfers may be </w:t>
      </w:r>
      <w:r w:rsidR="00043BBD">
        <w:rPr>
          <w:rFonts w:ascii="Times New Roman" w:eastAsia="Arial" w:hAnsi="Times New Roman" w:cs="Times New Roman"/>
          <w:color w:val="231F20"/>
          <w:sz w:val="24"/>
          <w:szCs w:val="24"/>
        </w:rPr>
        <w:t>appropri</w:t>
      </w:r>
      <w:r w:rsidRPr="00043BBD">
        <w:rPr>
          <w:rFonts w:ascii="Times New Roman" w:eastAsia="Arial" w:hAnsi="Times New Roman" w:cs="Times New Roman"/>
          <w:color w:val="231F20"/>
          <w:sz w:val="24"/>
          <w:szCs w:val="24"/>
        </w:rPr>
        <w:t>ate. Cost transfers to or fr</w:t>
      </w:r>
      <w:r w:rsidR="00655558">
        <w:rPr>
          <w:rFonts w:ascii="Times New Roman" w:eastAsia="Arial" w:hAnsi="Times New Roman" w:cs="Times New Roman"/>
          <w:color w:val="231F20"/>
          <w:sz w:val="24"/>
          <w:szCs w:val="24"/>
        </w:rPr>
        <w:t>om grants/contracts should rep</w:t>
      </w:r>
      <w:r w:rsidRPr="00043BBD">
        <w:rPr>
          <w:rFonts w:ascii="Times New Roman" w:eastAsia="Arial" w:hAnsi="Times New Roman" w:cs="Times New Roman"/>
          <w:color w:val="231F20"/>
          <w:sz w:val="24"/>
          <w:szCs w:val="24"/>
        </w:rPr>
        <w:t>resent corrections and must be made promptly after the error is discovered.</w:t>
      </w:r>
    </w:p>
    <w:p w14:paraId="236D6B95" w14:textId="0D8FEC84" w:rsidR="007443B7" w:rsidRPr="00043BBD" w:rsidRDefault="007443B7" w:rsidP="00043BBD">
      <w:pPr>
        <w:spacing w:before="120" w:after="0" w:line="240" w:lineRule="auto"/>
        <w:ind w:right="-43"/>
        <w:jc w:val="both"/>
        <w:rPr>
          <w:rFonts w:ascii="Times New Roman" w:eastAsia="Arial" w:hAnsi="Times New Roman" w:cs="Times New Roman"/>
          <w:sz w:val="24"/>
          <w:szCs w:val="24"/>
        </w:rPr>
      </w:pPr>
      <w:r w:rsidRPr="00043BBD">
        <w:rPr>
          <w:rFonts w:ascii="Times New Roman" w:eastAsia="Arial" w:hAnsi="Times New Roman" w:cs="Times New Roman"/>
          <w:color w:val="231F20"/>
          <w:sz w:val="24"/>
          <w:szCs w:val="24"/>
        </w:rPr>
        <w:t xml:space="preserve">A cost transfer between grant and contract-funded </w:t>
      </w:r>
      <w:r w:rsidR="00043BBD">
        <w:rPr>
          <w:rFonts w:ascii="Times New Roman" w:eastAsia="Arial" w:hAnsi="Times New Roman" w:cs="Times New Roman"/>
          <w:color w:val="231F20"/>
          <w:sz w:val="24"/>
          <w:szCs w:val="24"/>
        </w:rPr>
        <w:t>restricte</w:t>
      </w:r>
      <w:r w:rsidRPr="00043BBD">
        <w:rPr>
          <w:rFonts w:ascii="Times New Roman" w:eastAsia="Arial" w:hAnsi="Times New Roman" w:cs="Times New Roman"/>
          <w:color w:val="231F20"/>
          <w:sz w:val="24"/>
          <w:szCs w:val="24"/>
        </w:rPr>
        <w:t>d accounts may be made under the following conditions:</w:t>
      </w:r>
    </w:p>
    <w:p w14:paraId="74756E70" w14:textId="4EDD9D46" w:rsidR="007443B7" w:rsidRPr="00043BBD" w:rsidRDefault="007443B7" w:rsidP="00043BBD">
      <w:pPr>
        <w:pStyle w:val="ListParagraph"/>
        <w:numPr>
          <w:ilvl w:val="0"/>
          <w:numId w:val="10"/>
        </w:numPr>
        <w:ind w:right="-48"/>
        <w:rPr>
          <w:rFonts w:eastAsia="Arial" w:cs="Times New Roman"/>
          <w:szCs w:val="24"/>
        </w:rPr>
      </w:pPr>
      <w:r w:rsidRPr="00043BBD">
        <w:rPr>
          <w:rFonts w:eastAsia="Arial" w:cs="Times New Roman"/>
          <w:color w:val="231F20"/>
          <w:szCs w:val="24"/>
        </w:rPr>
        <w:t>The cost is proper and allowable by Sponsor and</w:t>
      </w:r>
      <w:r w:rsidR="00043BBD" w:rsidRPr="00043BBD">
        <w:rPr>
          <w:rFonts w:eastAsia="Arial" w:cs="Times New Roman"/>
          <w:color w:val="231F20"/>
          <w:szCs w:val="24"/>
        </w:rPr>
        <w:t xml:space="preserve"> </w:t>
      </w:r>
      <w:r w:rsidRPr="00043BBD">
        <w:rPr>
          <w:rFonts w:eastAsia="Arial" w:cs="Times New Roman"/>
          <w:color w:val="231F20"/>
          <w:szCs w:val="24"/>
        </w:rPr>
        <w:t>University policies.</w:t>
      </w:r>
    </w:p>
    <w:p w14:paraId="11B029E5" w14:textId="13A49CEB" w:rsidR="007443B7" w:rsidRPr="00043BBD" w:rsidRDefault="007443B7" w:rsidP="00043BBD">
      <w:pPr>
        <w:pStyle w:val="ListParagraph"/>
        <w:numPr>
          <w:ilvl w:val="0"/>
          <w:numId w:val="10"/>
        </w:numPr>
        <w:ind w:right="-48"/>
        <w:rPr>
          <w:rFonts w:eastAsia="Arial" w:cs="Times New Roman"/>
          <w:szCs w:val="24"/>
        </w:rPr>
      </w:pPr>
      <w:r w:rsidRPr="00043BBD">
        <w:rPr>
          <w:rFonts w:eastAsia="Arial" w:cs="Times New Roman"/>
          <w:color w:val="231F20"/>
          <w:szCs w:val="24"/>
        </w:rPr>
        <w:t>Justification for the transfer is clearly documented in writing to support the journal entry request.</w:t>
      </w:r>
    </w:p>
    <w:p w14:paraId="258461F5" w14:textId="6E462550" w:rsidR="007443B7" w:rsidRPr="00043BBD" w:rsidRDefault="007443B7" w:rsidP="00043BBD">
      <w:pPr>
        <w:spacing w:before="120" w:after="0" w:line="240" w:lineRule="auto"/>
        <w:ind w:right="-43"/>
        <w:jc w:val="both"/>
        <w:rPr>
          <w:rFonts w:ascii="Times New Roman" w:eastAsia="Arial" w:hAnsi="Times New Roman" w:cs="Times New Roman"/>
          <w:sz w:val="24"/>
          <w:szCs w:val="24"/>
        </w:rPr>
      </w:pPr>
      <w:r w:rsidRPr="00043BBD">
        <w:rPr>
          <w:rFonts w:ascii="Times New Roman" w:eastAsia="Arial" w:hAnsi="Times New Roman" w:cs="Times New Roman"/>
          <w:color w:val="231F20"/>
          <w:sz w:val="24"/>
          <w:szCs w:val="24"/>
        </w:rPr>
        <w:t>Transfers are made within 90 days of the original posting. (The Project Director must personally sign all cost transfer documents submitted more than 90 days after the charge’s original posting date.)</w:t>
      </w:r>
      <w:r w:rsidR="00043BBD">
        <w:rPr>
          <w:rFonts w:ascii="Times New Roman" w:eastAsia="Arial" w:hAnsi="Times New Roman" w:cs="Times New Roman"/>
          <w:color w:val="231F20"/>
          <w:sz w:val="24"/>
          <w:szCs w:val="24"/>
        </w:rPr>
        <w:t xml:space="preserve"> </w:t>
      </w:r>
      <w:r w:rsidRPr="00043BBD">
        <w:rPr>
          <w:rFonts w:ascii="Times New Roman" w:eastAsia="Arial" w:hAnsi="Times New Roman" w:cs="Times New Roman"/>
          <w:color w:val="231F20"/>
          <w:sz w:val="24"/>
          <w:szCs w:val="24"/>
        </w:rPr>
        <w:t>No charge may be transferred to or between restricted accounts in excess of one year from the original date of posting, except in approved extraordinary circumstances.</w:t>
      </w:r>
    </w:p>
    <w:p w14:paraId="62C33B30" w14:textId="21D7FB8E" w:rsidR="007443B7" w:rsidRPr="00043BBD" w:rsidRDefault="007443B7" w:rsidP="00043BBD">
      <w:pPr>
        <w:spacing w:before="120" w:after="0" w:line="240" w:lineRule="auto"/>
        <w:ind w:right="-43"/>
        <w:jc w:val="both"/>
        <w:rPr>
          <w:rFonts w:ascii="Times New Roman" w:eastAsia="Arial" w:hAnsi="Times New Roman" w:cs="Times New Roman"/>
          <w:sz w:val="24"/>
          <w:szCs w:val="24"/>
        </w:rPr>
      </w:pPr>
      <w:r w:rsidRPr="00043BBD">
        <w:rPr>
          <w:rFonts w:ascii="Times New Roman" w:eastAsia="Arial" w:hAnsi="Times New Roman" w:cs="Times New Roman"/>
          <w:b/>
          <w:bCs/>
          <w:color w:val="231F20"/>
          <w:sz w:val="24"/>
          <w:szCs w:val="24"/>
        </w:rPr>
        <w:t xml:space="preserve">What Documentation is Required to Support a Cost Transfer?  </w:t>
      </w:r>
      <w:r w:rsidRPr="00043BBD">
        <w:rPr>
          <w:rFonts w:ascii="Times New Roman" w:eastAsia="Arial" w:hAnsi="Times New Roman" w:cs="Times New Roman"/>
          <w:color w:val="231F20"/>
          <w:sz w:val="24"/>
          <w:szCs w:val="24"/>
        </w:rPr>
        <w:t xml:space="preserve">A cost transfer must be supported by a written explanation of how and why the error occurred and a certification of the correctness of the new charge. An explanation that merely states that the transfer was made </w:t>
      </w:r>
      <w:r w:rsidRPr="00043BBD">
        <w:rPr>
          <w:rFonts w:ascii="Times New Roman" w:eastAsia="Arial" w:hAnsi="Times New Roman" w:cs="Times New Roman"/>
          <w:b/>
          <w:bCs/>
          <w:color w:val="231F20"/>
          <w:sz w:val="24"/>
          <w:szCs w:val="24"/>
        </w:rPr>
        <w:t xml:space="preserve">“to correct error” </w:t>
      </w:r>
      <w:r w:rsidRPr="00043BBD">
        <w:rPr>
          <w:rFonts w:ascii="Times New Roman" w:eastAsia="Arial" w:hAnsi="Times New Roman" w:cs="Times New Roman"/>
          <w:color w:val="231F20"/>
          <w:sz w:val="24"/>
          <w:szCs w:val="24"/>
        </w:rPr>
        <w:t xml:space="preserve">or </w:t>
      </w:r>
      <w:r w:rsidRPr="00043BBD">
        <w:rPr>
          <w:rFonts w:ascii="Times New Roman" w:eastAsia="Arial" w:hAnsi="Times New Roman" w:cs="Times New Roman"/>
          <w:b/>
          <w:bCs/>
          <w:color w:val="231F20"/>
          <w:sz w:val="24"/>
          <w:szCs w:val="24"/>
        </w:rPr>
        <w:t xml:space="preserve">“to transfer to correct project” </w:t>
      </w:r>
      <w:r w:rsidRPr="00043BBD">
        <w:rPr>
          <w:rFonts w:ascii="Times New Roman" w:eastAsia="Arial" w:hAnsi="Times New Roman" w:cs="Times New Roman"/>
          <w:color w:val="231F20"/>
          <w:sz w:val="24"/>
          <w:szCs w:val="24"/>
        </w:rPr>
        <w:t>is not sufficient.</w:t>
      </w:r>
    </w:p>
    <w:p w14:paraId="4145B5FA" w14:textId="77777777" w:rsidR="00043BBD" w:rsidRPr="00043BBD" w:rsidRDefault="007443B7" w:rsidP="00043BBD">
      <w:pPr>
        <w:pStyle w:val="ListParagraph"/>
        <w:numPr>
          <w:ilvl w:val="0"/>
          <w:numId w:val="9"/>
        </w:numPr>
        <w:ind w:right="-43"/>
        <w:rPr>
          <w:rFonts w:eastAsia="Arial" w:cs="Times New Roman"/>
          <w:color w:val="231F20"/>
          <w:szCs w:val="24"/>
        </w:rPr>
      </w:pPr>
      <w:r w:rsidRPr="00043BBD">
        <w:rPr>
          <w:rFonts w:eastAsia="Arial" w:cs="Times New Roman"/>
          <w:color w:val="231F20"/>
          <w:szCs w:val="24"/>
        </w:rPr>
        <w:t xml:space="preserve">Appropriate justification will detail: </w:t>
      </w:r>
    </w:p>
    <w:p w14:paraId="2112C25A" w14:textId="2A630F43" w:rsidR="007443B7" w:rsidRPr="00043BBD" w:rsidRDefault="007443B7" w:rsidP="00043BBD">
      <w:pPr>
        <w:pStyle w:val="ListParagraph"/>
        <w:numPr>
          <w:ilvl w:val="0"/>
          <w:numId w:val="9"/>
        </w:numPr>
        <w:ind w:right="-43"/>
        <w:rPr>
          <w:rFonts w:eastAsia="Arial" w:cs="Times New Roman"/>
          <w:szCs w:val="24"/>
        </w:rPr>
      </w:pPr>
      <w:r w:rsidRPr="00043BBD">
        <w:rPr>
          <w:rFonts w:eastAsia="Arial" w:cs="Times New Roman"/>
          <w:color w:val="231F20"/>
          <w:szCs w:val="24"/>
        </w:rPr>
        <w:t>When the error was discovered, What the charge was for,</w:t>
      </w:r>
    </w:p>
    <w:p w14:paraId="67B6B050" w14:textId="77777777" w:rsidR="007443B7" w:rsidRPr="00043BBD" w:rsidRDefault="007443B7" w:rsidP="00043BBD">
      <w:pPr>
        <w:pStyle w:val="ListParagraph"/>
        <w:numPr>
          <w:ilvl w:val="0"/>
          <w:numId w:val="9"/>
        </w:numPr>
        <w:ind w:right="-43"/>
        <w:rPr>
          <w:rFonts w:eastAsia="Arial" w:cs="Times New Roman"/>
          <w:szCs w:val="24"/>
        </w:rPr>
      </w:pPr>
      <w:r w:rsidRPr="00043BBD">
        <w:rPr>
          <w:rFonts w:eastAsia="Arial" w:cs="Times New Roman"/>
          <w:color w:val="231F20"/>
          <w:szCs w:val="24"/>
        </w:rPr>
        <w:t>Why the charge was incorrectly made, and</w:t>
      </w:r>
    </w:p>
    <w:p w14:paraId="45449075" w14:textId="77777777" w:rsidR="007443B7" w:rsidRPr="00043BBD" w:rsidRDefault="007443B7" w:rsidP="00043BBD">
      <w:pPr>
        <w:pStyle w:val="ListParagraph"/>
        <w:numPr>
          <w:ilvl w:val="0"/>
          <w:numId w:val="9"/>
        </w:numPr>
        <w:ind w:right="-48"/>
        <w:rPr>
          <w:rFonts w:eastAsia="Arial" w:cs="Times New Roman"/>
          <w:szCs w:val="24"/>
        </w:rPr>
      </w:pPr>
      <w:r w:rsidRPr="00043BBD">
        <w:rPr>
          <w:rFonts w:eastAsia="Arial" w:cs="Times New Roman"/>
          <w:color w:val="231F20"/>
          <w:szCs w:val="24"/>
        </w:rPr>
        <w:t>How it specifically relates to the restricted account to which it will be transferred.</w:t>
      </w:r>
    </w:p>
    <w:p w14:paraId="65F1ECE0" w14:textId="77777777" w:rsidR="007443B7" w:rsidRPr="00043BBD" w:rsidRDefault="007443B7" w:rsidP="00043BBD">
      <w:pPr>
        <w:spacing w:before="120" w:after="0" w:line="240" w:lineRule="auto"/>
        <w:ind w:right="-43"/>
        <w:jc w:val="both"/>
        <w:rPr>
          <w:rFonts w:ascii="Times New Roman" w:eastAsia="Arial" w:hAnsi="Times New Roman" w:cs="Times New Roman"/>
          <w:sz w:val="24"/>
          <w:szCs w:val="24"/>
        </w:rPr>
      </w:pPr>
      <w:r w:rsidRPr="00043BBD">
        <w:rPr>
          <w:rFonts w:ascii="Times New Roman" w:eastAsia="Arial" w:hAnsi="Times New Roman" w:cs="Times New Roman"/>
          <w:color w:val="231F20"/>
          <w:sz w:val="24"/>
          <w:szCs w:val="24"/>
        </w:rPr>
        <w:t>The intentional “parking” of charges on a restricted grant/contract pending transfer to another grant/contract account upon its funding is unallowable. Parking of charges for any reason is considered a misuse of grant funds.</w:t>
      </w:r>
    </w:p>
    <w:p w14:paraId="38D320A2" w14:textId="16C123FA" w:rsidR="007443B7" w:rsidRPr="00655558" w:rsidRDefault="007443B7" w:rsidP="00043BBD">
      <w:pPr>
        <w:widowControl w:val="0"/>
        <w:autoSpaceDE w:val="0"/>
        <w:autoSpaceDN w:val="0"/>
        <w:adjustRightInd w:val="0"/>
        <w:spacing w:before="120" w:after="0" w:line="240" w:lineRule="auto"/>
        <w:ind w:right="-43"/>
        <w:rPr>
          <w:rFonts w:ascii="Times New Roman" w:eastAsia="Arial" w:hAnsi="Times New Roman" w:cs="Times New Roman"/>
          <w:sz w:val="24"/>
          <w:szCs w:val="24"/>
        </w:rPr>
      </w:pPr>
      <w:r w:rsidRPr="00043BBD">
        <w:rPr>
          <w:rFonts w:ascii="Times New Roman" w:eastAsia="Arial" w:hAnsi="Times New Roman" w:cs="Times New Roman"/>
          <w:color w:val="231F20"/>
          <w:sz w:val="24"/>
          <w:szCs w:val="24"/>
        </w:rPr>
        <w:t xml:space="preserve">Requests for grant or contract related cost transfers should be directed to </w:t>
      </w:r>
      <w:hyperlink r:id="rId8" w:history="1">
        <w:r w:rsidR="00655558" w:rsidRPr="00655558">
          <w:rPr>
            <w:rStyle w:val="Hyperlink"/>
            <w:rFonts w:ascii="Times New Roman" w:eastAsia="Arial" w:hAnsi="Times New Roman" w:cs="Times New Roman"/>
            <w:color w:val="auto"/>
            <w:sz w:val="24"/>
            <w:szCs w:val="24"/>
          </w:rPr>
          <w:t>NicoleHarris@clayton.edu</w:t>
        </w:r>
      </w:hyperlink>
    </w:p>
    <w:p w14:paraId="5DBC6C46" w14:textId="07C8B03D" w:rsidR="00655558" w:rsidRDefault="00655558" w:rsidP="00043BBD">
      <w:pPr>
        <w:widowControl w:val="0"/>
        <w:autoSpaceDE w:val="0"/>
        <w:autoSpaceDN w:val="0"/>
        <w:adjustRightInd w:val="0"/>
        <w:spacing w:before="120" w:after="0" w:line="240" w:lineRule="auto"/>
        <w:ind w:right="-43"/>
        <w:rPr>
          <w:rFonts w:ascii="Times New Roman" w:eastAsia="MS PGothic" w:hAnsi="Times New Roman" w:cs="Times New Roman"/>
          <w:bCs/>
          <w:position w:val="-1"/>
          <w:sz w:val="24"/>
          <w:szCs w:val="24"/>
        </w:rPr>
      </w:pPr>
      <w:hyperlink r:id="rId9" w:history="1">
        <w:r w:rsidRPr="00655558">
          <w:rPr>
            <w:rStyle w:val="Hyperlink"/>
            <w:rFonts w:ascii="Times New Roman" w:eastAsia="MS PGothic" w:hAnsi="Times New Roman" w:cs="Times New Roman"/>
            <w:bCs/>
            <w:position w:val="-1"/>
            <w:sz w:val="24"/>
            <w:szCs w:val="24"/>
          </w:rPr>
          <w:t>http://www.clayton.edu/Grant-Contract-Programs/Links</w:t>
        </w:r>
      </w:hyperlink>
    </w:p>
    <w:p w14:paraId="6DB7AEA8" w14:textId="77777777" w:rsidR="00655558" w:rsidRPr="00655558" w:rsidRDefault="00655558" w:rsidP="00043BBD">
      <w:pPr>
        <w:widowControl w:val="0"/>
        <w:autoSpaceDE w:val="0"/>
        <w:autoSpaceDN w:val="0"/>
        <w:adjustRightInd w:val="0"/>
        <w:spacing w:before="120" w:after="0" w:line="240" w:lineRule="auto"/>
        <w:ind w:right="-43"/>
        <w:rPr>
          <w:rFonts w:ascii="Times New Roman" w:eastAsia="MS PGothic" w:hAnsi="Times New Roman" w:cs="Times New Roman"/>
          <w:bCs/>
          <w:position w:val="-1"/>
          <w:sz w:val="24"/>
          <w:szCs w:val="24"/>
        </w:rPr>
      </w:pPr>
      <w:bookmarkStart w:id="0" w:name="_GoBack"/>
      <w:bookmarkEnd w:id="0"/>
    </w:p>
    <w:p w14:paraId="271AE1B8" w14:textId="77777777" w:rsidR="00655558" w:rsidRPr="00043BBD" w:rsidRDefault="00655558" w:rsidP="00043BBD">
      <w:pPr>
        <w:widowControl w:val="0"/>
        <w:autoSpaceDE w:val="0"/>
        <w:autoSpaceDN w:val="0"/>
        <w:adjustRightInd w:val="0"/>
        <w:spacing w:before="120" w:after="0" w:line="240" w:lineRule="auto"/>
        <w:ind w:right="-43"/>
        <w:rPr>
          <w:rFonts w:ascii="Times New Roman" w:eastAsia="MS PGothic" w:hAnsi="Times New Roman" w:cs="Times New Roman"/>
          <w:b/>
          <w:bCs/>
          <w:position w:val="-1"/>
          <w:sz w:val="24"/>
          <w:szCs w:val="24"/>
        </w:rPr>
      </w:pPr>
    </w:p>
    <w:sectPr w:rsidR="00655558" w:rsidRPr="00043BBD" w:rsidSect="00655558">
      <w:headerReference w:type="default" r:id="rId10"/>
      <w:pgSz w:w="12240" w:h="15840"/>
      <w:pgMar w:top="1170" w:right="1440" w:bottom="99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3F89C" w14:textId="77777777" w:rsidR="00EF0A6E" w:rsidRDefault="00EF0A6E" w:rsidP="007E1179">
      <w:pPr>
        <w:spacing w:after="0" w:line="240" w:lineRule="auto"/>
      </w:pPr>
      <w:r>
        <w:separator/>
      </w:r>
    </w:p>
  </w:endnote>
  <w:endnote w:type="continuationSeparator" w:id="0">
    <w:p w14:paraId="560080A0" w14:textId="77777777" w:rsidR="00EF0A6E" w:rsidRDefault="00EF0A6E"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DC650" w14:textId="77777777" w:rsidR="00EF0A6E" w:rsidRDefault="00EF0A6E" w:rsidP="007E1179">
      <w:pPr>
        <w:spacing w:after="0" w:line="240" w:lineRule="auto"/>
      </w:pPr>
      <w:r>
        <w:separator/>
      </w:r>
    </w:p>
  </w:footnote>
  <w:footnote w:type="continuationSeparator" w:id="0">
    <w:p w14:paraId="352D8471" w14:textId="77777777" w:rsidR="00EF0A6E" w:rsidRDefault="00EF0A6E"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16A9" w14:textId="24294757" w:rsidR="009F099E" w:rsidRPr="00E4482E"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E4482E">
      <w:rPr>
        <w:rFonts w:ascii="Times New Roman" w:eastAsia="Times New Roman" w:hAnsi="Times New Roman" w:cs="Times New Roman"/>
        <w:b/>
        <w:sz w:val="24"/>
        <w:szCs w:val="24"/>
      </w:rPr>
      <w:t>CLAYTON STATE UNIVERSITY</w:t>
    </w:r>
  </w:p>
  <w:p w14:paraId="15B6D672" w14:textId="1905DB85" w:rsidR="009F099E" w:rsidRPr="00655558" w:rsidRDefault="0089130A" w:rsidP="00D01147">
    <w:pPr>
      <w:pBdr>
        <w:bottom w:val="single" w:sz="4" w:space="1" w:color="auto"/>
      </w:pBdr>
      <w:shd w:val="clear" w:color="auto" w:fill="FFFFFF"/>
      <w:spacing w:after="0" w:line="240" w:lineRule="auto"/>
      <w:jc w:val="center"/>
      <w:outlineLvl w:val="2"/>
    </w:pPr>
    <w:r w:rsidRPr="00655558">
      <w:rPr>
        <w:rFonts w:ascii="Times New Roman" w:eastAsia="Times New Roman" w:hAnsi="Times New Roman" w:cs="Times New Roman"/>
        <w:b/>
        <w:sz w:val="24"/>
        <w:szCs w:val="24"/>
      </w:rPr>
      <w:t xml:space="preserve">COST TRANSFERS INVOLVING GRANTS AND OTHER SPONSORED PROGRAMS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26E"/>
    <w:multiLevelType w:val="hybridMultilevel"/>
    <w:tmpl w:val="01B8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C72F0"/>
    <w:multiLevelType w:val="hybridMultilevel"/>
    <w:tmpl w:val="4152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8E5778"/>
    <w:multiLevelType w:val="hybridMultilevel"/>
    <w:tmpl w:val="BA2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8" w15:restartNumberingAfterBreak="0">
    <w:nsid w:val="7A6E2D59"/>
    <w:multiLevelType w:val="hybridMultilevel"/>
    <w:tmpl w:val="0C940CE2"/>
    <w:lvl w:ilvl="0" w:tplc="934EA0C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9"/>
  </w:num>
  <w:num w:numId="6">
    <w:abstractNumId w:val="0"/>
  </w:num>
  <w:num w:numId="7">
    <w:abstractNumId w:val="4"/>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43BBD"/>
    <w:rsid w:val="00073EF2"/>
    <w:rsid w:val="000A14C5"/>
    <w:rsid w:val="000B7F54"/>
    <w:rsid w:val="000C5929"/>
    <w:rsid w:val="00120E4D"/>
    <w:rsid w:val="00131E89"/>
    <w:rsid w:val="00140B7E"/>
    <w:rsid w:val="00154A33"/>
    <w:rsid w:val="00160578"/>
    <w:rsid w:val="001C2E02"/>
    <w:rsid w:val="001C786B"/>
    <w:rsid w:val="001F1DEA"/>
    <w:rsid w:val="00271A8C"/>
    <w:rsid w:val="00281434"/>
    <w:rsid w:val="0029286A"/>
    <w:rsid w:val="002F3B46"/>
    <w:rsid w:val="00323285"/>
    <w:rsid w:val="00332F62"/>
    <w:rsid w:val="00341B95"/>
    <w:rsid w:val="00344086"/>
    <w:rsid w:val="003916DF"/>
    <w:rsid w:val="003A7A35"/>
    <w:rsid w:val="00421AB5"/>
    <w:rsid w:val="004531AC"/>
    <w:rsid w:val="00455221"/>
    <w:rsid w:val="004677AA"/>
    <w:rsid w:val="004761DA"/>
    <w:rsid w:val="004B23B0"/>
    <w:rsid w:val="004D68CF"/>
    <w:rsid w:val="00527364"/>
    <w:rsid w:val="005D6C0F"/>
    <w:rsid w:val="005E42B9"/>
    <w:rsid w:val="0060197C"/>
    <w:rsid w:val="00655558"/>
    <w:rsid w:val="0065692C"/>
    <w:rsid w:val="00674179"/>
    <w:rsid w:val="00675482"/>
    <w:rsid w:val="006775A6"/>
    <w:rsid w:val="0071520D"/>
    <w:rsid w:val="0073140F"/>
    <w:rsid w:val="00731E56"/>
    <w:rsid w:val="007443B7"/>
    <w:rsid w:val="0075489C"/>
    <w:rsid w:val="00772106"/>
    <w:rsid w:val="007E1179"/>
    <w:rsid w:val="00830402"/>
    <w:rsid w:val="00877CC5"/>
    <w:rsid w:val="0089130A"/>
    <w:rsid w:val="00892A2F"/>
    <w:rsid w:val="008F3A8C"/>
    <w:rsid w:val="00986E26"/>
    <w:rsid w:val="009965B1"/>
    <w:rsid w:val="009C0250"/>
    <w:rsid w:val="009D2385"/>
    <w:rsid w:val="009F099E"/>
    <w:rsid w:val="00A43D71"/>
    <w:rsid w:val="00A91859"/>
    <w:rsid w:val="00AC3ADE"/>
    <w:rsid w:val="00AE7E08"/>
    <w:rsid w:val="00B57085"/>
    <w:rsid w:val="00B67797"/>
    <w:rsid w:val="00BD515A"/>
    <w:rsid w:val="00C22A17"/>
    <w:rsid w:val="00CB15EA"/>
    <w:rsid w:val="00CB7A8F"/>
    <w:rsid w:val="00CC428F"/>
    <w:rsid w:val="00D01147"/>
    <w:rsid w:val="00D73E35"/>
    <w:rsid w:val="00DB69E8"/>
    <w:rsid w:val="00DC111C"/>
    <w:rsid w:val="00E4482E"/>
    <w:rsid w:val="00E67BC7"/>
    <w:rsid w:val="00E708F4"/>
    <w:rsid w:val="00EE438D"/>
    <w:rsid w:val="00EF0A6E"/>
    <w:rsid w:val="00EF1E8A"/>
    <w:rsid w:val="00F05A75"/>
    <w:rsid w:val="00F1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86B"/>
    <w:rPr>
      <w:rFonts w:eastAsiaTheme="minorEastAsia"/>
    </w:rPr>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160578"/>
    <w:pPr>
      <w:widowControl w:val="0"/>
      <w:numPr>
        <w:numId w:val="8"/>
      </w:numPr>
      <w:autoSpaceDE w:val="0"/>
      <w:autoSpaceDN w:val="0"/>
      <w:adjustRightInd w:val="0"/>
      <w:spacing w:before="120" w:after="0" w:line="240" w:lineRule="auto"/>
      <w:ind w:right="265"/>
      <w:jc w:val="both"/>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Harris@clayt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ayton.edu/Grant-Contract-Programs/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AD01-6316-429C-A4E4-BF837230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479</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23</cp:revision>
  <dcterms:created xsi:type="dcterms:W3CDTF">2015-11-13T02:30:00Z</dcterms:created>
  <dcterms:modified xsi:type="dcterms:W3CDTF">2015-11-17T15:25:00Z</dcterms:modified>
</cp:coreProperties>
</file>