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FCFD6" w14:textId="77777777" w:rsidR="001C786B" w:rsidRDefault="00D01147" w:rsidP="000C67CB">
      <w:pPr>
        <w:widowControl w:val="0"/>
        <w:autoSpaceDE w:val="0"/>
        <w:autoSpaceDN w:val="0"/>
        <w:adjustRightInd w:val="0"/>
        <w:spacing w:before="92" w:after="0" w:line="226" w:lineRule="exact"/>
        <w:ind w:right="-20"/>
        <w:rPr>
          <w:rFonts w:ascii="Arial" w:eastAsia="MS PGothic" w:hAnsi="Arial" w:cs="Arial"/>
          <w:b/>
          <w:bCs/>
          <w:color w:val="0F4C8B"/>
          <w:position w:val="-1"/>
          <w:sz w:val="20"/>
          <w:szCs w:val="20"/>
        </w:rPr>
      </w:pPr>
      <w:r>
        <w:rPr>
          <w:rFonts w:ascii="Times New Roman" w:eastAsia="Arial" w:hAnsi="Times New Roman" w:cs="Times New Roman"/>
          <w:b/>
          <w:bCs/>
          <w:sz w:val="24"/>
          <w:szCs w:val="24"/>
        </w:rPr>
        <w:t>INTERNAL CONTROLS CONCERNING GRANT AWARDS</w:t>
      </w:r>
      <w:r w:rsidR="001C786B" w:rsidRPr="001C786B">
        <w:rPr>
          <w:rFonts w:ascii="Arial" w:eastAsia="MS PGothic" w:hAnsi="Arial" w:cs="Arial"/>
          <w:b/>
          <w:bCs/>
          <w:color w:val="0F4C8B"/>
          <w:position w:val="-1"/>
          <w:sz w:val="20"/>
          <w:szCs w:val="20"/>
        </w:rPr>
        <w:t xml:space="preserve"> </w:t>
      </w:r>
    </w:p>
    <w:p w14:paraId="6CE6EA61" w14:textId="2E750B1A" w:rsidR="001C786B" w:rsidRPr="00772106" w:rsidRDefault="001C786B" w:rsidP="001C786B">
      <w:pPr>
        <w:widowControl w:val="0"/>
        <w:autoSpaceDE w:val="0"/>
        <w:autoSpaceDN w:val="0"/>
        <w:adjustRightInd w:val="0"/>
        <w:spacing w:before="92" w:after="0" w:line="226" w:lineRule="exact"/>
        <w:ind w:left="120" w:right="-20"/>
        <w:rPr>
          <w:rFonts w:ascii="Times New Roman" w:eastAsia="MS PGothic" w:hAnsi="Times New Roman" w:cs="Times New Roman"/>
          <w:sz w:val="24"/>
          <w:szCs w:val="24"/>
        </w:rPr>
      </w:pPr>
      <w:r w:rsidRPr="00772106">
        <w:rPr>
          <w:rFonts w:ascii="Times New Roman" w:eastAsia="MS PGothic" w:hAnsi="Times New Roman" w:cs="Times New Roman"/>
          <w:bCs/>
          <w:position w:val="-1"/>
          <w:sz w:val="24"/>
          <w:szCs w:val="24"/>
        </w:rPr>
        <w:t>By Sandra Evans and Rob Roy</w:t>
      </w:r>
    </w:p>
    <w:p w14:paraId="71937478" w14:textId="53CA07A9" w:rsidR="003A7A35" w:rsidRPr="000C67CB" w:rsidRDefault="00772106" w:rsidP="00323285">
      <w:pPr>
        <w:spacing w:before="100" w:beforeAutospacing="1" w:after="120" w:line="240" w:lineRule="auto"/>
        <w:ind w:right="-14"/>
        <w:jc w:val="both"/>
        <w:rPr>
          <w:rFonts w:ascii="Times New Roman" w:eastAsia="MS PGothic" w:hAnsi="Times New Roman" w:cs="Times New Roman"/>
          <w:bCs/>
          <w:i/>
          <w:color w:val="231F20"/>
          <w:spacing w:val="-3"/>
          <w:sz w:val="24"/>
          <w:szCs w:val="24"/>
        </w:rPr>
      </w:pPr>
      <w:r w:rsidRPr="000C67CB">
        <w:rPr>
          <w:rFonts w:ascii="Times New Roman" w:eastAsia="MS PGothic" w:hAnsi="Times New Roman" w:cs="Times New Roman"/>
          <w:bCs/>
          <w:i/>
          <w:color w:val="231F20"/>
          <w:spacing w:val="-3"/>
          <w:sz w:val="24"/>
          <w:szCs w:val="24"/>
        </w:rPr>
        <w:t>Reprinte</w:t>
      </w:r>
      <w:r w:rsidRPr="000C67CB">
        <w:rPr>
          <w:rFonts w:ascii="Times New Roman" w:eastAsia="MS PGothic" w:hAnsi="Times New Roman" w:cs="Times New Roman"/>
          <w:bCs/>
          <w:i/>
          <w:color w:val="231F20"/>
          <w:sz w:val="24"/>
          <w:szCs w:val="24"/>
        </w:rPr>
        <w:t>d</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wit</w:t>
      </w:r>
      <w:r w:rsidRPr="000C67CB">
        <w:rPr>
          <w:rFonts w:ascii="Times New Roman" w:eastAsia="MS PGothic" w:hAnsi="Times New Roman" w:cs="Times New Roman"/>
          <w:bCs/>
          <w:i/>
          <w:color w:val="231F20"/>
          <w:sz w:val="24"/>
          <w:szCs w:val="24"/>
        </w:rPr>
        <w:t>h</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permissio</w:t>
      </w:r>
      <w:r w:rsidRPr="000C67CB">
        <w:rPr>
          <w:rFonts w:ascii="Times New Roman" w:eastAsia="MS PGothic" w:hAnsi="Times New Roman" w:cs="Times New Roman"/>
          <w:bCs/>
          <w:i/>
          <w:color w:val="231F20"/>
          <w:sz w:val="24"/>
          <w:szCs w:val="24"/>
        </w:rPr>
        <w:t>n</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o</w:t>
      </w:r>
      <w:r w:rsidRPr="000C67CB">
        <w:rPr>
          <w:rFonts w:ascii="Times New Roman" w:eastAsia="MS PGothic" w:hAnsi="Times New Roman" w:cs="Times New Roman"/>
          <w:bCs/>
          <w:i/>
          <w:color w:val="231F20"/>
          <w:sz w:val="24"/>
          <w:szCs w:val="24"/>
        </w:rPr>
        <w:t xml:space="preserve">f </w:t>
      </w:r>
      <w:r w:rsidRPr="000C67CB">
        <w:rPr>
          <w:rFonts w:ascii="Times New Roman" w:eastAsia="MS PGothic" w:hAnsi="Times New Roman" w:cs="Times New Roman"/>
          <w:bCs/>
          <w:i/>
          <w:color w:val="231F20"/>
          <w:spacing w:val="-3"/>
          <w:sz w:val="24"/>
          <w:szCs w:val="24"/>
        </w:rPr>
        <w:t>Briefing</w:t>
      </w:r>
      <w:r w:rsidRPr="000C67CB">
        <w:rPr>
          <w:rFonts w:ascii="Times New Roman" w:eastAsia="MS PGothic" w:hAnsi="Times New Roman" w:cs="Times New Roman"/>
          <w:bCs/>
          <w:i/>
          <w:color w:val="231F20"/>
          <w:sz w:val="24"/>
          <w:szCs w:val="24"/>
        </w:rPr>
        <w:t>,</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z w:val="24"/>
          <w:szCs w:val="24"/>
        </w:rPr>
        <w:t>a</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publicatio</w:t>
      </w:r>
      <w:r w:rsidRPr="000C67CB">
        <w:rPr>
          <w:rFonts w:ascii="Times New Roman" w:eastAsia="MS PGothic" w:hAnsi="Times New Roman" w:cs="Times New Roman"/>
          <w:bCs/>
          <w:i/>
          <w:color w:val="231F20"/>
          <w:sz w:val="24"/>
          <w:szCs w:val="24"/>
        </w:rPr>
        <w:t>n</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o</w:t>
      </w:r>
      <w:r w:rsidRPr="000C67CB">
        <w:rPr>
          <w:rFonts w:ascii="Times New Roman" w:eastAsia="MS PGothic" w:hAnsi="Times New Roman" w:cs="Times New Roman"/>
          <w:bCs/>
          <w:i/>
          <w:color w:val="231F20"/>
          <w:sz w:val="24"/>
          <w:szCs w:val="24"/>
        </w:rPr>
        <w:t>f</w:t>
      </w:r>
      <w:r w:rsidRPr="000C67CB">
        <w:rPr>
          <w:rFonts w:ascii="Times New Roman" w:eastAsia="MS PGothic" w:hAnsi="Times New Roman" w:cs="Times New Roman"/>
          <w:bCs/>
          <w:i/>
          <w:color w:val="231F20"/>
          <w:spacing w:val="-1"/>
          <w:sz w:val="24"/>
          <w:szCs w:val="24"/>
        </w:rPr>
        <w:t xml:space="preserve"> </w:t>
      </w:r>
      <w:r w:rsidRPr="000C67CB">
        <w:rPr>
          <w:rFonts w:ascii="Times New Roman" w:eastAsia="MS PGothic" w:hAnsi="Times New Roman" w:cs="Times New Roman"/>
          <w:bCs/>
          <w:i/>
          <w:color w:val="231F20"/>
          <w:spacing w:val="-3"/>
          <w:sz w:val="24"/>
          <w:szCs w:val="24"/>
        </w:rPr>
        <w:t>the US</w:t>
      </w:r>
      <w:r w:rsidRPr="000C67CB">
        <w:rPr>
          <w:rFonts w:ascii="Times New Roman" w:eastAsia="MS PGothic" w:hAnsi="Times New Roman" w:cs="Times New Roman"/>
          <w:bCs/>
          <w:i/>
          <w:color w:val="231F20"/>
          <w:sz w:val="24"/>
          <w:szCs w:val="24"/>
        </w:rPr>
        <w:t xml:space="preserve">G </w:t>
      </w:r>
      <w:r w:rsidRPr="000C67CB">
        <w:rPr>
          <w:rFonts w:ascii="Times New Roman" w:eastAsia="MS PGothic" w:hAnsi="Times New Roman" w:cs="Times New Roman"/>
          <w:bCs/>
          <w:i/>
          <w:color w:val="231F20"/>
          <w:spacing w:val="-3"/>
          <w:sz w:val="24"/>
          <w:szCs w:val="24"/>
        </w:rPr>
        <w:t>Offic</w:t>
      </w:r>
      <w:r w:rsidRPr="000C67CB">
        <w:rPr>
          <w:rFonts w:ascii="Times New Roman" w:eastAsia="MS PGothic" w:hAnsi="Times New Roman" w:cs="Times New Roman"/>
          <w:bCs/>
          <w:i/>
          <w:color w:val="231F20"/>
          <w:sz w:val="24"/>
          <w:szCs w:val="24"/>
        </w:rPr>
        <w:t xml:space="preserve">e </w:t>
      </w:r>
      <w:r w:rsidRPr="000C67CB">
        <w:rPr>
          <w:rFonts w:ascii="Times New Roman" w:eastAsia="MS PGothic" w:hAnsi="Times New Roman" w:cs="Times New Roman"/>
          <w:bCs/>
          <w:i/>
          <w:color w:val="231F20"/>
          <w:spacing w:val="-3"/>
          <w:sz w:val="24"/>
          <w:szCs w:val="24"/>
        </w:rPr>
        <w:t>o</w:t>
      </w:r>
      <w:r w:rsidRPr="000C67CB">
        <w:rPr>
          <w:rFonts w:ascii="Times New Roman" w:eastAsia="MS PGothic" w:hAnsi="Times New Roman" w:cs="Times New Roman"/>
          <w:bCs/>
          <w:i/>
          <w:color w:val="231F20"/>
          <w:sz w:val="24"/>
          <w:szCs w:val="24"/>
        </w:rPr>
        <w:t xml:space="preserve">f </w:t>
      </w:r>
      <w:r w:rsidRPr="000C67CB">
        <w:rPr>
          <w:rFonts w:ascii="Times New Roman" w:eastAsia="MS PGothic" w:hAnsi="Times New Roman" w:cs="Times New Roman"/>
          <w:bCs/>
          <w:i/>
          <w:color w:val="231F20"/>
          <w:spacing w:val="-3"/>
          <w:sz w:val="24"/>
          <w:szCs w:val="24"/>
        </w:rPr>
        <w:t>Interna</w:t>
      </w:r>
      <w:r w:rsidRPr="000C67CB">
        <w:rPr>
          <w:rFonts w:ascii="Times New Roman" w:eastAsia="MS PGothic" w:hAnsi="Times New Roman" w:cs="Times New Roman"/>
          <w:bCs/>
          <w:i/>
          <w:color w:val="231F20"/>
          <w:sz w:val="24"/>
          <w:szCs w:val="24"/>
        </w:rPr>
        <w:t xml:space="preserve">l </w:t>
      </w:r>
      <w:r w:rsidRPr="000C67CB">
        <w:rPr>
          <w:rFonts w:ascii="Times New Roman" w:eastAsia="MS PGothic" w:hAnsi="Times New Roman" w:cs="Times New Roman"/>
          <w:bCs/>
          <w:i/>
          <w:color w:val="231F20"/>
          <w:spacing w:val="-3"/>
          <w:sz w:val="24"/>
          <w:szCs w:val="24"/>
        </w:rPr>
        <w:t>Audi</w:t>
      </w:r>
      <w:r w:rsidRPr="000C67CB">
        <w:rPr>
          <w:rFonts w:ascii="Times New Roman" w:eastAsia="MS PGothic" w:hAnsi="Times New Roman" w:cs="Times New Roman"/>
          <w:bCs/>
          <w:i/>
          <w:color w:val="231F20"/>
          <w:sz w:val="24"/>
          <w:szCs w:val="24"/>
        </w:rPr>
        <w:t xml:space="preserve">t </w:t>
      </w:r>
      <w:r w:rsidRPr="000C67CB">
        <w:rPr>
          <w:rFonts w:ascii="Times New Roman" w:eastAsia="MS PGothic" w:hAnsi="Times New Roman" w:cs="Times New Roman"/>
          <w:bCs/>
          <w:i/>
          <w:color w:val="231F20"/>
          <w:spacing w:val="-3"/>
          <w:sz w:val="24"/>
          <w:szCs w:val="24"/>
        </w:rPr>
        <w:t>an</w:t>
      </w:r>
      <w:r w:rsidRPr="000C67CB">
        <w:rPr>
          <w:rFonts w:ascii="Times New Roman" w:eastAsia="MS PGothic" w:hAnsi="Times New Roman" w:cs="Times New Roman"/>
          <w:bCs/>
          <w:i/>
          <w:color w:val="231F20"/>
          <w:sz w:val="24"/>
          <w:szCs w:val="24"/>
        </w:rPr>
        <w:t xml:space="preserve">d </w:t>
      </w:r>
      <w:r w:rsidRPr="000C67CB">
        <w:rPr>
          <w:rFonts w:ascii="Times New Roman" w:eastAsia="MS PGothic" w:hAnsi="Times New Roman" w:cs="Times New Roman"/>
          <w:bCs/>
          <w:i/>
          <w:color w:val="231F20"/>
          <w:spacing w:val="-3"/>
          <w:sz w:val="24"/>
          <w:szCs w:val="24"/>
        </w:rPr>
        <w:t>Compliance</w:t>
      </w:r>
      <w:r w:rsidRPr="000C67CB">
        <w:rPr>
          <w:rFonts w:ascii="Times New Roman" w:eastAsia="MS PGothic" w:hAnsi="Times New Roman" w:cs="Times New Roman"/>
          <w:bCs/>
          <w:i/>
          <w:color w:val="231F20"/>
          <w:sz w:val="24"/>
          <w:szCs w:val="24"/>
        </w:rPr>
        <w:t xml:space="preserve">, </w:t>
      </w:r>
      <w:r w:rsidRPr="000C67CB">
        <w:rPr>
          <w:rFonts w:ascii="Times New Roman" w:eastAsia="MS PGothic" w:hAnsi="Times New Roman" w:cs="Times New Roman"/>
          <w:bCs/>
          <w:i/>
          <w:color w:val="231F20"/>
          <w:spacing w:val="-3"/>
          <w:sz w:val="24"/>
          <w:szCs w:val="24"/>
        </w:rPr>
        <w:t>Volum</w:t>
      </w:r>
      <w:r w:rsidRPr="000C67CB">
        <w:rPr>
          <w:rFonts w:ascii="Times New Roman" w:eastAsia="MS PGothic" w:hAnsi="Times New Roman" w:cs="Times New Roman"/>
          <w:bCs/>
          <w:i/>
          <w:color w:val="231F20"/>
          <w:sz w:val="24"/>
          <w:szCs w:val="24"/>
        </w:rPr>
        <w:t xml:space="preserve">e </w:t>
      </w:r>
      <w:r w:rsidRPr="000C67CB">
        <w:rPr>
          <w:rFonts w:ascii="Times New Roman" w:eastAsia="MS PGothic" w:hAnsi="Times New Roman" w:cs="Times New Roman"/>
          <w:bCs/>
          <w:i/>
          <w:color w:val="231F20"/>
          <w:spacing w:val="-3"/>
          <w:sz w:val="24"/>
          <w:szCs w:val="24"/>
        </w:rPr>
        <w:t>1, Issu</w:t>
      </w:r>
      <w:r w:rsidRPr="000C67CB">
        <w:rPr>
          <w:rFonts w:ascii="Times New Roman" w:eastAsia="MS PGothic" w:hAnsi="Times New Roman" w:cs="Times New Roman"/>
          <w:bCs/>
          <w:i/>
          <w:color w:val="231F20"/>
          <w:sz w:val="24"/>
          <w:szCs w:val="24"/>
        </w:rPr>
        <w:t>e</w:t>
      </w:r>
      <w:r w:rsidRPr="000C67CB">
        <w:rPr>
          <w:rFonts w:ascii="Times New Roman" w:eastAsia="MS PGothic" w:hAnsi="Times New Roman" w:cs="Times New Roman"/>
          <w:bCs/>
          <w:i/>
          <w:color w:val="231F20"/>
          <w:spacing w:val="-7"/>
          <w:sz w:val="24"/>
          <w:szCs w:val="24"/>
        </w:rPr>
        <w:t xml:space="preserve"> </w:t>
      </w:r>
      <w:r w:rsidRPr="000C67CB">
        <w:rPr>
          <w:rFonts w:ascii="Times New Roman" w:eastAsia="MS PGothic" w:hAnsi="Times New Roman" w:cs="Times New Roman"/>
          <w:bCs/>
          <w:i/>
          <w:color w:val="231F20"/>
          <w:spacing w:val="-3"/>
          <w:sz w:val="24"/>
          <w:szCs w:val="24"/>
        </w:rPr>
        <w:t>3</w:t>
      </w:r>
      <w:r w:rsidRPr="000C67CB">
        <w:rPr>
          <w:rFonts w:ascii="Times New Roman" w:eastAsia="MS PGothic" w:hAnsi="Times New Roman" w:cs="Times New Roman"/>
          <w:bCs/>
          <w:i/>
          <w:color w:val="231F20"/>
          <w:sz w:val="24"/>
          <w:szCs w:val="24"/>
        </w:rPr>
        <w:t>,</w:t>
      </w:r>
      <w:r w:rsidRPr="000C67CB">
        <w:rPr>
          <w:rFonts w:ascii="Times New Roman" w:eastAsia="MS PGothic" w:hAnsi="Times New Roman" w:cs="Times New Roman"/>
          <w:bCs/>
          <w:i/>
          <w:color w:val="231F20"/>
          <w:spacing w:val="-7"/>
          <w:sz w:val="24"/>
          <w:szCs w:val="24"/>
        </w:rPr>
        <w:t xml:space="preserve"> </w:t>
      </w:r>
      <w:r w:rsidR="000C67CB">
        <w:rPr>
          <w:rFonts w:ascii="Times New Roman" w:eastAsia="MS PGothic" w:hAnsi="Times New Roman" w:cs="Times New Roman"/>
          <w:bCs/>
          <w:i/>
          <w:color w:val="231F20"/>
          <w:spacing w:val="-7"/>
          <w:sz w:val="24"/>
          <w:szCs w:val="24"/>
        </w:rPr>
        <w:t>F</w:t>
      </w:r>
      <w:r w:rsidRPr="000C67CB">
        <w:rPr>
          <w:rFonts w:ascii="Times New Roman" w:eastAsia="MS PGothic" w:hAnsi="Times New Roman" w:cs="Times New Roman"/>
          <w:bCs/>
          <w:i/>
          <w:color w:val="231F20"/>
          <w:spacing w:val="-3"/>
          <w:sz w:val="24"/>
          <w:szCs w:val="24"/>
        </w:rPr>
        <w:t>al</w:t>
      </w:r>
      <w:r w:rsidRPr="000C67CB">
        <w:rPr>
          <w:rFonts w:ascii="Times New Roman" w:eastAsia="MS PGothic" w:hAnsi="Times New Roman" w:cs="Times New Roman"/>
          <w:bCs/>
          <w:i/>
          <w:color w:val="231F20"/>
          <w:sz w:val="24"/>
          <w:szCs w:val="24"/>
        </w:rPr>
        <w:t>l</w:t>
      </w:r>
      <w:r w:rsidRPr="000C67CB">
        <w:rPr>
          <w:rFonts w:ascii="Times New Roman" w:eastAsia="MS PGothic" w:hAnsi="Times New Roman" w:cs="Times New Roman"/>
          <w:bCs/>
          <w:i/>
          <w:color w:val="231F20"/>
          <w:spacing w:val="-7"/>
          <w:sz w:val="24"/>
          <w:szCs w:val="24"/>
        </w:rPr>
        <w:t xml:space="preserve"> </w:t>
      </w:r>
      <w:r w:rsidRPr="000C67CB">
        <w:rPr>
          <w:rFonts w:ascii="Times New Roman" w:eastAsia="MS PGothic" w:hAnsi="Times New Roman" w:cs="Times New Roman"/>
          <w:bCs/>
          <w:i/>
          <w:color w:val="231F20"/>
          <w:spacing w:val="-3"/>
          <w:sz w:val="24"/>
          <w:szCs w:val="24"/>
        </w:rPr>
        <w:t>2012</w:t>
      </w:r>
    </w:p>
    <w:p w14:paraId="62D58ECD" w14:textId="39400D16" w:rsidR="00675482" w:rsidRPr="00CB7A8F" w:rsidRDefault="00675482" w:rsidP="00CB7A8F">
      <w:pPr>
        <w:widowControl w:val="0"/>
        <w:autoSpaceDE w:val="0"/>
        <w:autoSpaceDN w:val="0"/>
        <w:adjustRightInd w:val="0"/>
        <w:spacing w:before="120" w:after="0" w:line="240" w:lineRule="auto"/>
        <w:ind w:right="-48"/>
        <w:jc w:val="both"/>
        <w:rPr>
          <w:rFonts w:ascii="Times New Roman" w:eastAsia="MS PGothic" w:hAnsi="Times New Roman" w:cs="Times New Roman"/>
          <w:color w:val="000000"/>
          <w:sz w:val="24"/>
          <w:szCs w:val="24"/>
        </w:rPr>
      </w:pPr>
      <w:r w:rsidRPr="00CB7A8F">
        <w:rPr>
          <w:rFonts w:ascii="Times New Roman" w:eastAsia="MS PGothic" w:hAnsi="Times New Roman" w:cs="Times New Roman"/>
          <w:color w:val="231F20"/>
          <w:sz w:val="24"/>
          <w:szCs w:val="24"/>
        </w:rPr>
        <w:t xml:space="preserve">Whether a grant award is the institution’s first or its fiftieth, it is crucial for the institution to establish a structure for </w:t>
      </w:r>
      <w:r w:rsidR="00CB7A8F">
        <w:rPr>
          <w:rFonts w:ascii="Times New Roman" w:eastAsia="MS PGothic" w:hAnsi="Times New Roman" w:cs="Times New Roman"/>
          <w:color w:val="231F20"/>
          <w:sz w:val="24"/>
          <w:szCs w:val="24"/>
        </w:rPr>
        <w:t>suc</w:t>
      </w:r>
      <w:r w:rsidRPr="00CB7A8F">
        <w:rPr>
          <w:rFonts w:ascii="Times New Roman" w:eastAsia="MS PGothic" w:hAnsi="Times New Roman" w:cs="Times New Roman"/>
          <w:color w:val="231F20"/>
          <w:sz w:val="24"/>
          <w:szCs w:val="24"/>
        </w:rPr>
        <w:t xml:space="preserve">cessful administration of the grant program. This article will address the concept of internal controls as a critical </w:t>
      </w:r>
      <w:r w:rsidR="00CB7A8F">
        <w:rPr>
          <w:rFonts w:ascii="Times New Roman" w:eastAsia="MS PGothic" w:hAnsi="Times New Roman" w:cs="Times New Roman"/>
          <w:color w:val="231F20"/>
          <w:sz w:val="24"/>
          <w:szCs w:val="24"/>
        </w:rPr>
        <w:t>ele</w:t>
      </w:r>
      <w:r w:rsidRPr="00CB7A8F">
        <w:rPr>
          <w:rFonts w:ascii="Times New Roman" w:eastAsia="MS PGothic" w:hAnsi="Times New Roman" w:cs="Times New Roman"/>
          <w:color w:val="231F20"/>
          <w:sz w:val="24"/>
          <w:szCs w:val="24"/>
        </w:rPr>
        <w:t>ment in establishing a grant award infrastructure. Internal controls define responsibilities, specify required activity reports and mitigate risks. The use of internal controls pro- vides reasonable assurance that operational objectives may be achieved.</w:t>
      </w:r>
    </w:p>
    <w:p w14:paraId="2C87B845" w14:textId="6942CE58" w:rsidR="00675482" w:rsidRPr="00CB7A8F" w:rsidRDefault="00675482" w:rsidP="00CB7A8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color w:val="231F20"/>
          <w:sz w:val="24"/>
          <w:szCs w:val="24"/>
        </w:rPr>
        <w:t>These controls should include the following:</w:t>
      </w:r>
    </w:p>
    <w:p w14:paraId="4FB322C0" w14:textId="41238C89" w:rsidR="00675482" w:rsidRPr="00CB7A8F" w:rsidRDefault="00675482" w:rsidP="00CB7A8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b/>
          <w:bCs/>
          <w:color w:val="231F20"/>
          <w:sz w:val="24"/>
          <w:szCs w:val="24"/>
        </w:rPr>
        <w:t>Management Responsibility</w:t>
      </w:r>
      <w:r w:rsidR="003916DF">
        <w:rPr>
          <w:rFonts w:ascii="Times New Roman" w:eastAsia="MS PGothic" w:hAnsi="Times New Roman" w:cs="Times New Roman"/>
          <w:b/>
          <w:bCs/>
          <w:color w:val="231F20"/>
          <w:sz w:val="24"/>
          <w:szCs w:val="24"/>
        </w:rPr>
        <w:t>.</w:t>
      </w:r>
      <w:r w:rsidR="00CB7A8F">
        <w:rPr>
          <w:rFonts w:ascii="Times New Roman" w:eastAsia="MS PGothic" w:hAnsi="Times New Roman" w:cs="Times New Roman"/>
          <w:b/>
          <w:bCs/>
          <w:color w:val="231F20"/>
          <w:sz w:val="24"/>
          <w:szCs w:val="24"/>
        </w:rPr>
        <w:t xml:space="preserve"> </w:t>
      </w:r>
      <w:r w:rsidRPr="00CB7A8F">
        <w:rPr>
          <w:rFonts w:ascii="Times New Roman" w:eastAsia="MS PGothic" w:hAnsi="Times New Roman" w:cs="Times New Roman"/>
          <w:color w:val="231F20"/>
          <w:sz w:val="24"/>
          <w:szCs w:val="24"/>
        </w:rPr>
        <w:t>Grant application timing, composition, comprehensive budget and program structure, including statement of work, committed effort, compliance</w:t>
      </w:r>
    </w:p>
    <w:p w14:paraId="2648EC8E" w14:textId="77777777" w:rsidR="00675482" w:rsidRPr="00CB7A8F" w:rsidRDefault="00675482" w:rsidP="00CB7A8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color w:val="231F20"/>
          <w:sz w:val="24"/>
          <w:szCs w:val="24"/>
        </w:rPr>
        <w:t>Budget development and spending plans, mandatory cost share, required budget amendments, and financial reporting to responsible parties, including funding agency; and, sub-awards and sub-recipient monitoring, if applicable</w:t>
      </w:r>
    </w:p>
    <w:p w14:paraId="7C320674" w14:textId="77777777" w:rsidR="00675482" w:rsidRPr="00CB7A8F" w:rsidRDefault="00675482" w:rsidP="00CB7A8F">
      <w:pPr>
        <w:widowControl w:val="0"/>
        <w:autoSpaceDE w:val="0"/>
        <w:autoSpaceDN w:val="0"/>
        <w:adjustRightInd w:val="0"/>
        <w:spacing w:before="120" w:after="0" w:line="240" w:lineRule="auto"/>
        <w:ind w:right="3315"/>
        <w:jc w:val="both"/>
        <w:rPr>
          <w:rFonts w:ascii="Times New Roman" w:eastAsia="MS PGothic" w:hAnsi="Times New Roman" w:cs="Times New Roman"/>
          <w:b/>
          <w:i/>
          <w:color w:val="000000"/>
          <w:sz w:val="24"/>
          <w:szCs w:val="24"/>
        </w:rPr>
      </w:pPr>
      <w:r w:rsidRPr="00CB7A8F">
        <w:rPr>
          <w:rFonts w:ascii="Times New Roman" w:eastAsia="MS PGothic" w:hAnsi="Times New Roman" w:cs="Times New Roman"/>
          <w:b/>
          <w:i/>
          <w:color w:val="231F20"/>
          <w:sz w:val="24"/>
          <w:szCs w:val="24"/>
        </w:rPr>
        <w:t>Report requirements</w:t>
      </w:r>
    </w:p>
    <w:p w14:paraId="636171EB" w14:textId="01F63C79" w:rsidR="00675482" w:rsidRPr="00CB7A8F" w:rsidRDefault="00675482" w:rsidP="00160578">
      <w:pPr>
        <w:pStyle w:val="ListParagraph"/>
        <w:numPr>
          <w:ilvl w:val="0"/>
          <w:numId w:val="7"/>
        </w:numPr>
        <w:rPr>
          <w:color w:val="000000"/>
        </w:rPr>
      </w:pPr>
      <w:r w:rsidRPr="00CB7A8F">
        <w:t xml:space="preserve">Progress of programmatic results as defined in the </w:t>
      </w:r>
      <w:r w:rsidR="00455221">
        <w:t>origi</w:t>
      </w:r>
      <w:r w:rsidRPr="00CB7A8F">
        <w:t>nal statement of work and budget request</w:t>
      </w:r>
    </w:p>
    <w:p w14:paraId="67A350E5" w14:textId="77777777" w:rsidR="00675482" w:rsidRPr="00CB7A8F" w:rsidRDefault="00675482" w:rsidP="00160578">
      <w:pPr>
        <w:pStyle w:val="ListParagraph"/>
        <w:numPr>
          <w:ilvl w:val="0"/>
          <w:numId w:val="7"/>
        </w:numPr>
        <w:rPr>
          <w:color w:val="000000"/>
        </w:rPr>
      </w:pPr>
      <w:r w:rsidRPr="00CB7A8F">
        <w:t>Programmatic personnel changes including Principal Investigator (PI), delays, and changes necessary to reach completion</w:t>
      </w:r>
    </w:p>
    <w:p w14:paraId="2123A24F" w14:textId="1EF22F22" w:rsidR="00675482" w:rsidRPr="00CB7A8F" w:rsidRDefault="00675482" w:rsidP="00160578">
      <w:pPr>
        <w:pStyle w:val="ListParagraph"/>
        <w:numPr>
          <w:ilvl w:val="0"/>
          <w:numId w:val="7"/>
        </w:numPr>
        <w:rPr>
          <w:color w:val="000000"/>
        </w:rPr>
      </w:pPr>
      <w:r w:rsidRPr="00CB7A8F">
        <w:t xml:space="preserve">Time and effort; required monitoring of proprietary, </w:t>
      </w:r>
      <w:r w:rsidR="00455221">
        <w:t>confi</w:t>
      </w:r>
      <w:r w:rsidRPr="00CB7A8F">
        <w:t>dential or classified data, site visits, asset purchases and tracking, and compliance with federal or granting agency regulations, close out</w:t>
      </w:r>
    </w:p>
    <w:p w14:paraId="4969DFE1" w14:textId="77777777" w:rsidR="00675482" w:rsidRPr="00CB7A8F" w:rsidRDefault="00675482" w:rsidP="00CB7A8F">
      <w:pPr>
        <w:widowControl w:val="0"/>
        <w:autoSpaceDE w:val="0"/>
        <w:autoSpaceDN w:val="0"/>
        <w:adjustRightInd w:val="0"/>
        <w:spacing w:before="120" w:after="0" w:line="240" w:lineRule="auto"/>
        <w:ind w:right="3673"/>
        <w:jc w:val="both"/>
        <w:rPr>
          <w:rFonts w:ascii="Times New Roman" w:eastAsia="MS PGothic" w:hAnsi="Times New Roman" w:cs="Times New Roman"/>
          <w:i/>
          <w:color w:val="000000"/>
          <w:sz w:val="24"/>
          <w:szCs w:val="24"/>
        </w:rPr>
      </w:pPr>
      <w:r w:rsidRPr="00CB7A8F">
        <w:rPr>
          <w:rFonts w:ascii="Times New Roman" w:eastAsia="MS PGothic" w:hAnsi="Times New Roman" w:cs="Times New Roman"/>
          <w:b/>
          <w:bCs/>
          <w:i/>
          <w:color w:val="231F20"/>
          <w:sz w:val="24"/>
          <w:szCs w:val="24"/>
        </w:rPr>
        <w:t>Risk Assessment</w:t>
      </w:r>
    </w:p>
    <w:p w14:paraId="16871EB6" w14:textId="422B93D2" w:rsidR="00675482" w:rsidRPr="00160578" w:rsidRDefault="00675482" w:rsidP="00160578">
      <w:pPr>
        <w:pStyle w:val="ListParagraph"/>
        <w:rPr>
          <w:color w:val="000000"/>
        </w:rPr>
      </w:pPr>
      <w:r w:rsidRPr="00160578">
        <w:t xml:space="preserve">Inefficient or ineffective members of the grant </w:t>
      </w:r>
      <w:r w:rsidR="00455221">
        <w:t>manage</w:t>
      </w:r>
      <w:r w:rsidRPr="00160578">
        <w:t>ment or research team</w:t>
      </w:r>
    </w:p>
    <w:p w14:paraId="3DA47BD1" w14:textId="5B5435D0" w:rsidR="00675482" w:rsidRPr="00160578" w:rsidRDefault="00675482" w:rsidP="00160578">
      <w:pPr>
        <w:pStyle w:val="ListParagraph"/>
        <w:rPr>
          <w:color w:val="000000"/>
        </w:rPr>
      </w:pPr>
      <w:r w:rsidRPr="00160578">
        <w:t xml:space="preserve">Inaccurate time and effort reporting or supporting </w:t>
      </w:r>
      <w:r w:rsidR="00455221">
        <w:t>docu</w:t>
      </w:r>
      <w:r w:rsidRPr="00160578">
        <w:t>mentation</w:t>
      </w:r>
    </w:p>
    <w:p w14:paraId="248B0BDB" w14:textId="77777777" w:rsidR="00675482" w:rsidRPr="00160578" w:rsidRDefault="00675482" w:rsidP="00160578">
      <w:pPr>
        <w:pStyle w:val="ListParagraph"/>
        <w:rPr>
          <w:color w:val="000000"/>
        </w:rPr>
      </w:pPr>
      <w:r w:rsidRPr="00160578">
        <w:t>Cost over runs or funds remaining at conclusion of grant period</w:t>
      </w:r>
    </w:p>
    <w:p w14:paraId="4E9C6585" w14:textId="77777777" w:rsidR="00675482" w:rsidRPr="00160578" w:rsidRDefault="00675482" w:rsidP="00160578">
      <w:pPr>
        <w:pStyle w:val="ListParagraph"/>
        <w:rPr>
          <w:color w:val="000000"/>
        </w:rPr>
      </w:pPr>
      <w:r w:rsidRPr="00160578">
        <w:t>Delayed or inaccurate reporting to funding agency</w:t>
      </w:r>
    </w:p>
    <w:p w14:paraId="54E269EB" w14:textId="77777777" w:rsidR="00675482" w:rsidRPr="00160578" w:rsidRDefault="00675482" w:rsidP="00160578">
      <w:pPr>
        <w:pStyle w:val="ListParagraph"/>
        <w:rPr>
          <w:color w:val="000000"/>
        </w:rPr>
      </w:pPr>
      <w:r w:rsidRPr="00160578">
        <w:t>Inadequate grants management policies and procedures, training, or implementation</w:t>
      </w:r>
    </w:p>
    <w:p w14:paraId="45E6DE6C" w14:textId="77777777" w:rsidR="00675482" w:rsidRPr="00160578" w:rsidRDefault="00675482" w:rsidP="00160578">
      <w:pPr>
        <w:pStyle w:val="ListParagraph"/>
        <w:rPr>
          <w:color w:val="000000"/>
        </w:rPr>
      </w:pPr>
      <w:r w:rsidRPr="00160578">
        <w:t>Compliance with applicable  laws and regulations, Board of Regents policy, USG procedures, institution policy and procedures, granting agency policy and procedures, and federal policy.</w:t>
      </w:r>
    </w:p>
    <w:p w14:paraId="3A5B7ABB" w14:textId="7C9C7F60" w:rsidR="00675482" w:rsidRPr="00CB7A8F" w:rsidRDefault="00675482" w:rsidP="00CB7A8F">
      <w:pPr>
        <w:widowControl w:val="0"/>
        <w:autoSpaceDE w:val="0"/>
        <w:autoSpaceDN w:val="0"/>
        <w:adjustRightInd w:val="0"/>
        <w:spacing w:before="120" w:after="0" w:line="240" w:lineRule="auto"/>
        <w:ind w:right="262"/>
        <w:jc w:val="both"/>
        <w:rPr>
          <w:rFonts w:ascii="Times New Roman" w:eastAsia="MS PGothic" w:hAnsi="Times New Roman" w:cs="Times New Roman"/>
          <w:color w:val="000000"/>
          <w:sz w:val="24"/>
          <w:szCs w:val="24"/>
        </w:rPr>
      </w:pPr>
      <w:r w:rsidRPr="00CB7A8F">
        <w:rPr>
          <w:rFonts w:ascii="Times New Roman" w:eastAsia="MS PGothic" w:hAnsi="Times New Roman" w:cs="Times New Roman"/>
          <w:color w:val="231F20"/>
          <w:sz w:val="24"/>
          <w:szCs w:val="24"/>
        </w:rPr>
        <w:t xml:space="preserve">There are additional key factors that support a strong </w:t>
      </w:r>
      <w:r w:rsidR="00455221">
        <w:rPr>
          <w:rFonts w:ascii="Times New Roman" w:eastAsia="MS PGothic" w:hAnsi="Times New Roman" w:cs="Times New Roman"/>
          <w:color w:val="231F20"/>
          <w:sz w:val="24"/>
          <w:szCs w:val="24"/>
        </w:rPr>
        <w:t>inter</w:t>
      </w:r>
      <w:r w:rsidRPr="00CB7A8F">
        <w:rPr>
          <w:rFonts w:ascii="Times New Roman" w:eastAsia="MS PGothic" w:hAnsi="Times New Roman" w:cs="Times New Roman"/>
          <w:color w:val="231F20"/>
          <w:sz w:val="24"/>
          <w:szCs w:val="24"/>
        </w:rPr>
        <w:t xml:space="preserve">nal control system. Two of the most significant are </w:t>
      </w:r>
      <w:r w:rsidR="00455221">
        <w:rPr>
          <w:rFonts w:ascii="Times New Roman" w:eastAsia="MS PGothic" w:hAnsi="Times New Roman" w:cs="Times New Roman"/>
          <w:color w:val="231F20"/>
          <w:sz w:val="24"/>
          <w:szCs w:val="24"/>
        </w:rPr>
        <w:t>separa</w:t>
      </w:r>
      <w:r w:rsidRPr="00CB7A8F">
        <w:rPr>
          <w:rFonts w:ascii="Times New Roman" w:eastAsia="MS PGothic" w:hAnsi="Times New Roman" w:cs="Times New Roman"/>
          <w:color w:val="231F20"/>
          <w:sz w:val="24"/>
          <w:szCs w:val="24"/>
        </w:rPr>
        <w:t>tion of responsibilities/duties and an effective conflict of interest program.</w:t>
      </w:r>
    </w:p>
    <w:p w14:paraId="62802362" w14:textId="77777777" w:rsidR="00675482" w:rsidRPr="00CB7A8F" w:rsidRDefault="00675482" w:rsidP="00CB7A8F">
      <w:pPr>
        <w:widowControl w:val="0"/>
        <w:autoSpaceDE w:val="0"/>
        <w:autoSpaceDN w:val="0"/>
        <w:adjustRightInd w:val="0"/>
        <w:spacing w:before="120" w:after="0" w:line="240" w:lineRule="auto"/>
        <w:rPr>
          <w:rFonts w:ascii="Times New Roman" w:eastAsia="MS PGothic" w:hAnsi="Times New Roman" w:cs="Times New Roman"/>
          <w:color w:val="000000"/>
          <w:sz w:val="24"/>
          <w:szCs w:val="24"/>
        </w:rPr>
      </w:pPr>
    </w:p>
    <w:p w14:paraId="7A778455" w14:textId="77777777" w:rsidR="00A91859" w:rsidRDefault="00A91859" w:rsidP="00CB7A8F">
      <w:pPr>
        <w:widowControl w:val="0"/>
        <w:autoSpaceDE w:val="0"/>
        <w:autoSpaceDN w:val="0"/>
        <w:adjustRightInd w:val="0"/>
        <w:spacing w:before="120" w:after="0" w:line="240" w:lineRule="auto"/>
        <w:jc w:val="both"/>
        <w:rPr>
          <w:rFonts w:ascii="Times New Roman" w:eastAsia="MS PGothic" w:hAnsi="Times New Roman" w:cs="Times New Roman"/>
          <w:b/>
          <w:bCs/>
          <w:color w:val="231F20"/>
          <w:sz w:val="24"/>
          <w:szCs w:val="24"/>
        </w:rPr>
        <w:sectPr w:rsidR="00A91859">
          <w:headerReference w:type="default" r:id="rId8"/>
          <w:pgSz w:w="12240" w:h="15840"/>
          <w:pgMar w:top="1440" w:right="1440" w:bottom="1440" w:left="1440" w:header="720" w:footer="720" w:gutter="0"/>
          <w:cols w:space="720"/>
          <w:docGrid w:linePitch="360"/>
        </w:sectPr>
      </w:pPr>
    </w:p>
    <w:p w14:paraId="1D256454" w14:textId="497409A1" w:rsidR="00675482" w:rsidRPr="00CB7A8F" w:rsidRDefault="00675482" w:rsidP="003916D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b/>
          <w:bCs/>
          <w:color w:val="231F20"/>
          <w:sz w:val="24"/>
          <w:szCs w:val="24"/>
        </w:rPr>
        <w:lastRenderedPageBreak/>
        <w:t xml:space="preserve">Separation of Responsibilities/Duties. </w:t>
      </w:r>
      <w:r w:rsidRPr="00CB7A8F">
        <w:rPr>
          <w:rFonts w:ascii="Times New Roman" w:eastAsia="MS PGothic" w:hAnsi="Times New Roman" w:cs="Times New Roman"/>
          <w:color w:val="231F20"/>
          <w:sz w:val="24"/>
          <w:szCs w:val="24"/>
        </w:rPr>
        <w:t xml:space="preserve">An internal control system should establish division of responsibilities for those individuals who prepare, review, affirm, negotiate, and/or approve grants. In this respect, internal control is each </w:t>
      </w:r>
      <w:r w:rsidR="003916DF">
        <w:rPr>
          <w:rFonts w:ascii="Times New Roman" w:eastAsia="MS PGothic" w:hAnsi="Times New Roman" w:cs="Times New Roman"/>
          <w:color w:val="231F20"/>
          <w:sz w:val="24"/>
          <w:szCs w:val="24"/>
        </w:rPr>
        <w:t>fac</w:t>
      </w:r>
      <w:r w:rsidRPr="00CB7A8F">
        <w:rPr>
          <w:rFonts w:ascii="Times New Roman" w:eastAsia="MS PGothic" w:hAnsi="Times New Roman" w:cs="Times New Roman"/>
          <w:color w:val="231F20"/>
          <w:sz w:val="24"/>
          <w:szCs w:val="24"/>
        </w:rPr>
        <w:t xml:space="preserve">ulty’s responsibility. If insufficient staffing is an issue, then an objective third party, familiar with the grant details and agency requirements, could provide a compensating </w:t>
      </w:r>
      <w:r w:rsidR="003916DF">
        <w:rPr>
          <w:rFonts w:ascii="Times New Roman" w:eastAsia="MS PGothic" w:hAnsi="Times New Roman" w:cs="Times New Roman"/>
          <w:color w:val="231F20"/>
          <w:sz w:val="24"/>
          <w:szCs w:val="24"/>
        </w:rPr>
        <w:t>con</w:t>
      </w:r>
      <w:r w:rsidRPr="00CB7A8F">
        <w:rPr>
          <w:rFonts w:ascii="Times New Roman" w:eastAsia="MS PGothic" w:hAnsi="Times New Roman" w:cs="Times New Roman"/>
          <w:color w:val="231F20"/>
          <w:sz w:val="24"/>
          <w:szCs w:val="24"/>
        </w:rPr>
        <w:t>trol. In the area of grants, duties of the PI and research related support staff should be different from duties of the Office of Grant and Contract Programs staff. If the line between the Office of Grant and Contract Programs and PI is removed, then a level of internal controls is removed.</w:t>
      </w:r>
    </w:p>
    <w:p w14:paraId="52221480" w14:textId="03A24FAA" w:rsidR="00675482" w:rsidRPr="00CB7A8F" w:rsidRDefault="00675482" w:rsidP="003916D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b/>
          <w:bCs/>
          <w:color w:val="231F20"/>
          <w:sz w:val="24"/>
          <w:szCs w:val="24"/>
        </w:rPr>
        <w:t xml:space="preserve">Conflict of Interests. </w:t>
      </w:r>
      <w:r w:rsidRPr="00CB7A8F">
        <w:rPr>
          <w:rFonts w:ascii="Times New Roman" w:eastAsia="MS PGothic" w:hAnsi="Times New Roman" w:cs="Times New Roman"/>
          <w:color w:val="231F20"/>
          <w:sz w:val="24"/>
          <w:szCs w:val="24"/>
        </w:rPr>
        <w:t xml:space="preserve">Can be financial, reputational, </w:t>
      </w:r>
      <w:r w:rsidR="003916DF">
        <w:rPr>
          <w:rFonts w:ascii="Times New Roman" w:eastAsia="MS PGothic" w:hAnsi="Times New Roman" w:cs="Times New Roman"/>
          <w:color w:val="231F20"/>
          <w:sz w:val="24"/>
          <w:szCs w:val="24"/>
        </w:rPr>
        <w:t>com</w:t>
      </w:r>
      <w:r w:rsidRPr="00CB7A8F">
        <w:rPr>
          <w:rFonts w:ascii="Times New Roman" w:eastAsia="MS PGothic" w:hAnsi="Times New Roman" w:cs="Times New Roman"/>
          <w:color w:val="231F20"/>
          <w:sz w:val="24"/>
          <w:szCs w:val="24"/>
        </w:rPr>
        <w:t>mitment (i.e. other commitments that prevent full effort to primary responsibilities), or personal (i.e. use of grant funds for personal equipment or travel). Employment of relatives can be perceived as a conflict if a personnel action is within a hiring manager’s span of management control, even when the relative is not a direct report. See BOR Policy Section 8.2.3, specifically “line of authority”. Each institution should include references to conflict of interest in their grant administration policy, and require mitigation plans when conflicts of interest are identified.</w:t>
      </w:r>
    </w:p>
    <w:p w14:paraId="4716A6ED" w14:textId="673F3F5F" w:rsidR="00675482" w:rsidRPr="00CB7A8F" w:rsidRDefault="00675482" w:rsidP="003916DF">
      <w:pPr>
        <w:widowControl w:val="0"/>
        <w:autoSpaceDE w:val="0"/>
        <w:autoSpaceDN w:val="0"/>
        <w:adjustRightInd w:val="0"/>
        <w:spacing w:before="120" w:after="0" w:line="240" w:lineRule="auto"/>
        <w:jc w:val="both"/>
        <w:rPr>
          <w:rFonts w:ascii="Times New Roman" w:eastAsia="MS PGothic" w:hAnsi="Times New Roman" w:cs="Times New Roman"/>
          <w:color w:val="000000"/>
          <w:sz w:val="24"/>
          <w:szCs w:val="24"/>
        </w:rPr>
      </w:pPr>
      <w:r w:rsidRPr="00CB7A8F">
        <w:rPr>
          <w:rFonts w:ascii="Times New Roman" w:eastAsia="MS PGothic" w:hAnsi="Times New Roman" w:cs="Times New Roman"/>
          <w:color w:val="231F20"/>
          <w:sz w:val="24"/>
          <w:szCs w:val="24"/>
        </w:rPr>
        <w:t xml:space="preserve">Opportunities for errors exist at each step of the grant </w:t>
      </w:r>
      <w:r w:rsidR="003916DF">
        <w:rPr>
          <w:rFonts w:ascii="Times New Roman" w:eastAsia="MS PGothic" w:hAnsi="Times New Roman" w:cs="Times New Roman"/>
          <w:color w:val="231F20"/>
          <w:sz w:val="24"/>
          <w:szCs w:val="24"/>
        </w:rPr>
        <w:t>admin</w:t>
      </w:r>
      <w:r w:rsidRPr="00CB7A8F">
        <w:rPr>
          <w:rFonts w:ascii="Times New Roman" w:eastAsia="MS PGothic" w:hAnsi="Times New Roman" w:cs="Times New Roman"/>
          <w:color w:val="231F20"/>
          <w:sz w:val="24"/>
          <w:szCs w:val="24"/>
        </w:rPr>
        <w:t xml:space="preserve">istration process, increasing the risks of incorrect financial reporting, non-compliance with regulations, fines, and/or return of funds to the granting agency. Internal controls designed to detect errors are essential to successful </w:t>
      </w:r>
      <w:r w:rsidR="003916DF">
        <w:rPr>
          <w:rFonts w:ascii="Times New Roman" w:eastAsia="MS PGothic" w:hAnsi="Times New Roman" w:cs="Times New Roman"/>
          <w:color w:val="231F20"/>
          <w:sz w:val="24"/>
          <w:szCs w:val="24"/>
        </w:rPr>
        <w:t>opera</w:t>
      </w:r>
      <w:r w:rsidRPr="00CB7A8F">
        <w:rPr>
          <w:rFonts w:ascii="Times New Roman" w:eastAsia="MS PGothic" w:hAnsi="Times New Roman" w:cs="Times New Roman"/>
          <w:color w:val="231F20"/>
          <w:sz w:val="24"/>
          <w:szCs w:val="24"/>
        </w:rPr>
        <w:t>tions. The challenge is to identify risk areas and to design controls that will reduce risks or to detect vulnerabilities.</w:t>
      </w:r>
    </w:p>
    <w:p w14:paraId="5FB6F1CD" w14:textId="4B0EAB6A" w:rsidR="00675482" w:rsidRPr="00CB7A8F" w:rsidRDefault="00675482" w:rsidP="00CB7A8F">
      <w:pPr>
        <w:widowControl w:val="0"/>
        <w:autoSpaceDE w:val="0"/>
        <w:autoSpaceDN w:val="0"/>
        <w:adjustRightInd w:val="0"/>
        <w:spacing w:before="120" w:after="0" w:line="240" w:lineRule="auto"/>
        <w:jc w:val="both"/>
        <w:rPr>
          <w:rFonts w:ascii="Times New Roman" w:eastAsia="MS PGothic" w:hAnsi="Times New Roman" w:cs="Times New Roman"/>
          <w:color w:val="231F20"/>
          <w:sz w:val="24"/>
          <w:szCs w:val="24"/>
        </w:rPr>
      </w:pPr>
      <w:r w:rsidRPr="00CB7A8F">
        <w:rPr>
          <w:rFonts w:ascii="Times New Roman" w:eastAsia="MS PGothic" w:hAnsi="Times New Roman" w:cs="Times New Roman"/>
          <w:color w:val="231F20"/>
          <w:sz w:val="24"/>
          <w:szCs w:val="24"/>
        </w:rPr>
        <w:t>The BOR expects that institutions will properly administer federal grants. Many USG institutions provide educational, informational or technical training on structure and guidance grants administration. The OIAC encourages all institutions to develop internal control systems that will help reduce risks and detect vulnerabilities in grant processes.</w:t>
      </w:r>
    </w:p>
    <w:p w14:paraId="24D7A266" w14:textId="77777777" w:rsidR="00CB7A8F" w:rsidRDefault="00CB7A8F" w:rsidP="00CB7A8F">
      <w:pPr>
        <w:pStyle w:val="NoSpacing"/>
        <w:spacing w:before="120"/>
        <w:jc w:val="both"/>
        <w:rPr>
          <w:rFonts w:ascii="Times New Roman" w:eastAsia="Times New Roman" w:hAnsi="Times New Roman"/>
          <w:sz w:val="24"/>
          <w:szCs w:val="24"/>
        </w:rPr>
      </w:pPr>
      <w:r w:rsidRPr="00643EEA">
        <w:rPr>
          <w:rFonts w:ascii="Times New Roman" w:hAnsi="Times New Roman"/>
          <w:sz w:val="24"/>
          <w:szCs w:val="24"/>
        </w:rPr>
        <w:t xml:space="preserve">For assistance in the development of your proposal budget and budget narrative, contact </w:t>
      </w:r>
      <w:r w:rsidRPr="00643EEA">
        <w:rPr>
          <w:rFonts w:ascii="Times New Roman" w:eastAsia="Times New Roman" w:hAnsi="Times New Roman"/>
          <w:sz w:val="24"/>
          <w:szCs w:val="24"/>
        </w:rPr>
        <w:t xml:space="preserve">Nicole Harris at (678) 466-5497 or </w:t>
      </w:r>
      <w:hyperlink r:id="rId9" w:history="1">
        <w:r w:rsidRPr="00643EEA">
          <w:rPr>
            <w:rStyle w:val="Hyperlink"/>
            <w:rFonts w:ascii="Times New Roman" w:eastAsia="Times New Roman" w:hAnsi="Times New Roman"/>
            <w:color w:val="auto"/>
            <w:sz w:val="24"/>
            <w:szCs w:val="24"/>
          </w:rPr>
          <w:t>NicoleHarris@clayton.edu</w:t>
        </w:r>
      </w:hyperlink>
      <w:r w:rsidRPr="00643EEA">
        <w:rPr>
          <w:rFonts w:ascii="Times New Roman" w:eastAsia="Times New Roman" w:hAnsi="Times New Roman"/>
          <w:sz w:val="24"/>
          <w:szCs w:val="24"/>
        </w:rPr>
        <w:t xml:space="preserve"> or CSU East, Woodlands Hall.</w:t>
      </w:r>
    </w:p>
    <w:p w14:paraId="4618C9A3" w14:textId="77777777" w:rsidR="000C67CB" w:rsidRDefault="000C67CB" w:rsidP="00CB7A8F">
      <w:pPr>
        <w:pStyle w:val="NoSpacing"/>
        <w:spacing w:before="120"/>
        <w:jc w:val="both"/>
        <w:rPr>
          <w:rFonts w:ascii="Times New Roman" w:eastAsia="Times New Roman" w:hAnsi="Times New Roman"/>
          <w:sz w:val="24"/>
          <w:szCs w:val="24"/>
        </w:rPr>
      </w:pPr>
    </w:p>
    <w:bookmarkStart w:id="0" w:name="_GoBack"/>
    <w:bookmarkEnd w:id="0"/>
    <w:p w14:paraId="0894AFFF" w14:textId="2B9D2172" w:rsidR="000C67CB" w:rsidRDefault="000C67CB" w:rsidP="00CB7A8F">
      <w:pPr>
        <w:pStyle w:val="NoSpacing"/>
        <w:spacing w:before="120"/>
        <w:jc w:val="both"/>
        <w:rPr>
          <w:rFonts w:ascii="Times New Roman" w:eastAsia="Times New Roman" w:hAnsi="Times New Roman"/>
          <w:sz w:val="24"/>
          <w:szCs w:val="24"/>
        </w:rPr>
      </w:pPr>
      <w:r>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HYPERLINK "</w:instrText>
      </w:r>
      <w:r w:rsidRPr="000C67CB">
        <w:rPr>
          <w:rFonts w:ascii="Times New Roman" w:eastAsia="Times New Roman" w:hAnsi="Times New Roman"/>
          <w:sz w:val="24"/>
          <w:szCs w:val="24"/>
        </w:rPr>
        <w:instrText>http://www.clayton.edu/Grant-Contract-Programs/Links</w:instrText>
      </w:r>
      <w:r>
        <w:rPr>
          <w:rFonts w:ascii="Times New Roman" w:eastAsia="Times New Roman" w:hAnsi="Times New Roman"/>
          <w:sz w:val="24"/>
          <w:szCs w:val="24"/>
        </w:rPr>
        <w:instrText xml:space="preserve">" </w:instrText>
      </w:r>
      <w:r>
        <w:rPr>
          <w:rFonts w:ascii="Times New Roman" w:eastAsia="Times New Roman" w:hAnsi="Times New Roman"/>
          <w:sz w:val="24"/>
          <w:szCs w:val="24"/>
        </w:rPr>
        <w:fldChar w:fldCharType="separate"/>
      </w:r>
      <w:r w:rsidRPr="004D5A87">
        <w:rPr>
          <w:rStyle w:val="Hyperlink"/>
          <w:rFonts w:ascii="Times New Roman" w:eastAsia="Times New Roman" w:hAnsi="Times New Roman"/>
          <w:sz w:val="24"/>
          <w:szCs w:val="24"/>
        </w:rPr>
        <w:t>http://www.clayton.edu/Grant-Contract-Programs/Links</w:t>
      </w:r>
      <w:r>
        <w:rPr>
          <w:rFonts w:ascii="Times New Roman" w:eastAsia="Times New Roman" w:hAnsi="Times New Roman"/>
          <w:sz w:val="24"/>
          <w:szCs w:val="24"/>
        </w:rPr>
        <w:fldChar w:fldCharType="end"/>
      </w:r>
    </w:p>
    <w:p w14:paraId="5F2DD4EB" w14:textId="77777777" w:rsidR="000C67CB" w:rsidRPr="00643EEA" w:rsidRDefault="000C67CB" w:rsidP="00CB7A8F">
      <w:pPr>
        <w:pStyle w:val="NoSpacing"/>
        <w:spacing w:before="120"/>
        <w:jc w:val="both"/>
        <w:rPr>
          <w:rFonts w:ascii="Times New Roman" w:eastAsia="Times New Roman" w:hAnsi="Times New Roman"/>
          <w:sz w:val="24"/>
          <w:szCs w:val="24"/>
        </w:rPr>
      </w:pPr>
    </w:p>
    <w:sectPr w:rsidR="000C67CB" w:rsidRPr="00643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3B52" w14:textId="77777777" w:rsidR="008E2E8B" w:rsidRDefault="008E2E8B" w:rsidP="007E1179">
      <w:pPr>
        <w:spacing w:after="0" w:line="240" w:lineRule="auto"/>
      </w:pPr>
      <w:r>
        <w:separator/>
      </w:r>
    </w:p>
  </w:endnote>
  <w:endnote w:type="continuationSeparator" w:id="0">
    <w:p w14:paraId="149C852A" w14:textId="77777777" w:rsidR="008E2E8B" w:rsidRDefault="008E2E8B"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FF528" w14:textId="77777777" w:rsidR="008E2E8B" w:rsidRDefault="008E2E8B" w:rsidP="007E1179">
      <w:pPr>
        <w:spacing w:after="0" w:line="240" w:lineRule="auto"/>
      </w:pPr>
      <w:r>
        <w:separator/>
      </w:r>
    </w:p>
  </w:footnote>
  <w:footnote w:type="continuationSeparator" w:id="0">
    <w:p w14:paraId="55111C24" w14:textId="77777777" w:rsidR="008E2E8B" w:rsidRDefault="008E2E8B"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E4482E"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E4482E">
      <w:rPr>
        <w:rFonts w:ascii="Times New Roman" w:eastAsia="Times New Roman" w:hAnsi="Times New Roman" w:cs="Times New Roman"/>
        <w:b/>
        <w:sz w:val="24"/>
        <w:szCs w:val="24"/>
      </w:rPr>
      <w:t>CLAYTON STATE UNIVERSITY</w:t>
    </w:r>
  </w:p>
  <w:p w14:paraId="15B6D672" w14:textId="17897365" w:rsidR="009F099E" w:rsidRPr="004269FC" w:rsidRDefault="00D01147" w:rsidP="00D01147">
    <w:pPr>
      <w:pBdr>
        <w:bottom w:val="single" w:sz="4" w:space="1" w:color="auto"/>
      </w:pBdr>
      <w:shd w:val="clear" w:color="auto" w:fill="FFFFFF"/>
      <w:spacing w:after="0" w:line="240" w:lineRule="auto"/>
      <w:jc w:val="center"/>
      <w:outlineLvl w:val="2"/>
    </w:pPr>
    <w:r w:rsidRPr="004269FC">
      <w:rPr>
        <w:rFonts w:ascii="Times New Roman" w:eastAsia="Times New Roman" w:hAnsi="Times New Roman" w:cs="Times New Roman"/>
        <w:b/>
        <w:sz w:val="24"/>
        <w:szCs w:val="24"/>
      </w:rPr>
      <w:t xml:space="preserve">INTERNAL CONTROLS CONCERNING GRANT AWARDS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E5778"/>
    <w:multiLevelType w:val="hybridMultilevel"/>
    <w:tmpl w:val="BA2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6" w15:restartNumberingAfterBreak="0">
    <w:nsid w:val="7A6E2D59"/>
    <w:multiLevelType w:val="hybridMultilevel"/>
    <w:tmpl w:val="0C940CE2"/>
    <w:lvl w:ilvl="0" w:tplc="934EA0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73EF2"/>
    <w:rsid w:val="000A14C5"/>
    <w:rsid w:val="000B7F54"/>
    <w:rsid w:val="000C5929"/>
    <w:rsid w:val="000C67CB"/>
    <w:rsid w:val="00120E4D"/>
    <w:rsid w:val="00131E89"/>
    <w:rsid w:val="00140B7E"/>
    <w:rsid w:val="00154A33"/>
    <w:rsid w:val="00160578"/>
    <w:rsid w:val="001C2E02"/>
    <w:rsid w:val="001C786B"/>
    <w:rsid w:val="001F1DEA"/>
    <w:rsid w:val="00271A8C"/>
    <w:rsid w:val="00281434"/>
    <w:rsid w:val="0029286A"/>
    <w:rsid w:val="002F3B46"/>
    <w:rsid w:val="00323285"/>
    <w:rsid w:val="00332F62"/>
    <w:rsid w:val="00341B95"/>
    <w:rsid w:val="00344086"/>
    <w:rsid w:val="003916DF"/>
    <w:rsid w:val="003A7A35"/>
    <w:rsid w:val="00421AB5"/>
    <w:rsid w:val="004269FC"/>
    <w:rsid w:val="004531AC"/>
    <w:rsid w:val="00455221"/>
    <w:rsid w:val="004677AA"/>
    <w:rsid w:val="004761DA"/>
    <w:rsid w:val="004B23B0"/>
    <w:rsid w:val="004D68CF"/>
    <w:rsid w:val="00527364"/>
    <w:rsid w:val="005D6C0F"/>
    <w:rsid w:val="005E42B9"/>
    <w:rsid w:val="0060197C"/>
    <w:rsid w:val="00643EEA"/>
    <w:rsid w:val="0065692C"/>
    <w:rsid w:val="00674179"/>
    <w:rsid w:val="00675482"/>
    <w:rsid w:val="006775A6"/>
    <w:rsid w:val="0071520D"/>
    <w:rsid w:val="0073140F"/>
    <w:rsid w:val="00731E56"/>
    <w:rsid w:val="0075489C"/>
    <w:rsid w:val="00772106"/>
    <w:rsid w:val="007E1179"/>
    <w:rsid w:val="00830402"/>
    <w:rsid w:val="00877CC5"/>
    <w:rsid w:val="00892A2F"/>
    <w:rsid w:val="008E2E8B"/>
    <w:rsid w:val="008F3A8C"/>
    <w:rsid w:val="00986E26"/>
    <w:rsid w:val="009965B1"/>
    <w:rsid w:val="009C0250"/>
    <w:rsid w:val="009D2385"/>
    <w:rsid w:val="009F099E"/>
    <w:rsid w:val="00A43D71"/>
    <w:rsid w:val="00A91859"/>
    <w:rsid w:val="00AC3ADE"/>
    <w:rsid w:val="00AE7E08"/>
    <w:rsid w:val="00B67797"/>
    <w:rsid w:val="00BD515A"/>
    <w:rsid w:val="00C22A17"/>
    <w:rsid w:val="00CB15EA"/>
    <w:rsid w:val="00CB7A8F"/>
    <w:rsid w:val="00CC428F"/>
    <w:rsid w:val="00CE3BBC"/>
    <w:rsid w:val="00D01147"/>
    <w:rsid w:val="00D73E35"/>
    <w:rsid w:val="00DB69E8"/>
    <w:rsid w:val="00DC111C"/>
    <w:rsid w:val="00E4482E"/>
    <w:rsid w:val="00E67BC7"/>
    <w:rsid w:val="00E708F4"/>
    <w:rsid w:val="00EE438D"/>
    <w:rsid w:val="00EF1E8A"/>
    <w:rsid w:val="00F05A75"/>
    <w:rsid w:val="00F1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6B"/>
    <w:rPr>
      <w:rFonts w:eastAsiaTheme="minorEastAsia"/>
    </w:rPr>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160578"/>
    <w:pPr>
      <w:widowControl w:val="0"/>
      <w:numPr>
        <w:numId w:val="8"/>
      </w:numPr>
      <w:autoSpaceDE w:val="0"/>
      <w:autoSpaceDN w:val="0"/>
      <w:adjustRightInd w:val="0"/>
      <w:spacing w:before="120" w:after="0" w:line="240" w:lineRule="auto"/>
      <w:ind w:right="265"/>
      <w:jc w:val="both"/>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oleHarris@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F979-6A4C-42EC-BA13-8BAECCAC3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716</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22</cp:revision>
  <dcterms:created xsi:type="dcterms:W3CDTF">2015-11-13T02:30:00Z</dcterms:created>
  <dcterms:modified xsi:type="dcterms:W3CDTF">2015-11-17T14:50:00Z</dcterms:modified>
</cp:coreProperties>
</file>