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0F" w:rsidRPr="00EE7FB6" w:rsidRDefault="00EE7FB6" w:rsidP="00EE7FB6">
      <w:pPr>
        <w:jc w:val="center"/>
        <w:rPr>
          <w:b/>
        </w:rPr>
      </w:pPr>
      <w:r w:rsidRPr="00EE7FB6">
        <w:rPr>
          <w:b/>
        </w:rPr>
        <w:t>Clayton State University</w:t>
      </w:r>
    </w:p>
    <w:p w:rsidR="00EE7FB6" w:rsidRPr="00EE7FB6" w:rsidRDefault="00EE7FB6" w:rsidP="00EE7FB6">
      <w:pPr>
        <w:jc w:val="center"/>
        <w:rPr>
          <w:b/>
        </w:rPr>
      </w:pPr>
      <w:r w:rsidRPr="00EE7FB6">
        <w:rPr>
          <w:b/>
        </w:rPr>
        <w:t>Additional Funding Request</w:t>
      </w:r>
    </w:p>
    <w:p w:rsidR="00EE7FB6" w:rsidRPr="00EE7FB6" w:rsidRDefault="00EE7FB6" w:rsidP="00EE7FB6">
      <w:pPr>
        <w:jc w:val="center"/>
        <w:rPr>
          <w:b/>
        </w:rPr>
      </w:pPr>
      <w:r w:rsidRPr="00EE7FB6">
        <w:rPr>
          <w:b/>
        </w:rPr>
        <w:t>Budget Period 2009-10</w:t>
      </w:r>
    </w:p>
    <w:p w:rsidR="00EE7FB6" w:rsidRDefault="00EE7FB6"/>
    <w:p w:rsidR="00EE7FB6" w:rsidRDefault="00EE7FB6">
      <w:r w:rsidRPr="00EE7FB6">
        <w:rPr>
          <w:b/>
        </w:rPr>
        <w:t>Division/Department:</w:t>
      </w:r>
      <w:r>
        <w:t xml:space="preserve">  Office of Recruitment and Admissions</w:t>
      </w:r>
    </w:p>
    <w:p w:rsidR="00EE7FB6" w:rsidRDefault="00EE7FB6">
      <w:r w:rsidRPr="00EE7FB6">
        <w:rPr>
          <w:b/>
        </w:rPr>
        <w:t>Priority Title:</w:t>
      </w:r>
      <w:r>
        <w:t xml:space="preserve">  Undergraduate Admission Advertising</w:t>
      </w:r>
    </w:p>
    <w:p w:rsidR="00EE7FB6" w:rsidRDefault="00EE7FB6" w:rsidP="00EE7FB6">
      <w:r w:rsidRPr="00EE7FB6">
        <w:rPr>
          <w:b/>
        </w:rPr>
        <w:t>Funding Requested:</w:t>
      </w:r>
      <w:r>
        <w:t xml:space="preserve">  $</w:t>
      </w:r>
      <w:r w:rsidR="00B8627A">
        <w:t>30,430</w:t>
      </w:r>
    </w:p>
    <w:p w:rsidR="004A07CB" w:rsidRDefault="004A07CB" w:rsidP="00415D9C">
      <w:pPr>
        <w:rPr>
          <w:b/>
        </w:rPr>
      </w:pPr>
    </w:p>
    <w:p w:rsidR="00EE7FB6" w:rsidRPr="00415D9C" w:rsidRDefault="00EE7FB6" w:rsidP="00415D9C">
      <w:pPr>
        <w:rPr>
          <w:b/>
        </w:rPr>
      </w:pPr>
      <w:r w:rsidRPr="00415D9C">
        <w:rPr>
          <w:b/>
        </w:rPr>
        <w:t>Explain or justify the requested funds.</w:t>
      </w:r>
    </w:p>
    <w:p w:rsidR="002A1F7C" w:rsidRPr="00D11AF2" w:rsidRDefault="00EE7FB6" w:rsidP="005F010F">
      <w:pPr>
        <w:rPr>
          <w:sz w:val="20"/>
          <w:szCs w:val="20"/>
        </w:rPr>
      </w:pPr>
      <w:r w:rsidRPr="00D11AF2">
        <w:rPr>
          <w:sz w:val="20"/>
          <w:szCs w:val="20"/>
        </w:rPr>
        <w:t xml:space="preserve">The advertising expenditures requested would </w:t>
      </w:r>
      <w:r w:rsidR="005F010F" w:rsidRPr="00D11AF2">
        <w:rPr>
          <w:sz w:val="20"/>
          <w:szCs w:val="20"/>
        </w:rPr>
        <w:t>increase visibility</w:t>
      </w:r>
      <w:r w:rsidRPr="00D11AF2">
        <w:rPr>
          <w:sz w:val="20"/>
          <w:szCs w:val="20"/>
        </w:rPr>
        <w:t xml:space="preserve"> of Clayton State University</w:t>
      </w:r>
      <w:r w:rsidR="005F010F" w:rsidRPr="00D11AF2">
        <w:rPr>
          <w:sz w:val="20"/>
          <w:szCs w:val="20"/>
        </w:rPr>
        <w:t xml:space="preserve"> and </w:t>
      </w:r>
      <w:r w:rsidRPr="00D11AF2">
        <w:rPr>
          <w:sz w:val="20"/>
          <w:szCs w:val="20"/>
        </w:rPr>
        <w:t xml:space="preserve">encourage application and </w:t>
      </w:r>
      <w:r w:rsidR="005F010F" w:rsidRPr="00D11AF2">
        <w:rPr>
          <w:sz w:val="20"/>
          <w:szCs w:val="20"/>
        </w:rPr>
        <w:t xml:space="preserve">enrollment for </w:t>
      </w:r>
      <w:r w:rsidRPr="00D11AF2">
        <w:rPr>
          <w:sz w:val="20"/>
          <w:szCs w:val="20"/>
        </w:rPr>
        <w:t xml:space="preserve">the </w:t>
      </w:r>
      <w:proofErr w:type="gramStart"/>
      <w:r w:rsidRPr="00D11AF2">
        <w:rPr>
          <w:sz w:val="20"/>
          <w:szCs w:val="20"/>
        </w:rPr>
        <w:t>S</w:t>
      </w:r>
      <w:r w:rsidR="005F010F" w:rsidRPr="00D11AF2">
        <w:rPr>
          <w:sz w:val="20"/>
          <w:szCs w:val="20"/>
        </w:rPr>
        <w:t>pring</w:t>
      </w:r>
      <w:proofErr w:type="gramEnd"/>
      <w:r w:rsidR="005F010F" w:rsidRPr="00D11AF2">
        <w:rPr>
          <w:sz w:val="20"/>
          <w:szCs w:val="20"/>
        </w:rPr>
        <w:t xml:space="preserve"> 2010 and </w:t>
      </w:r>
      <w:r w:rsidRPr="00D11AF2">
        <w:rPr>
          <w:sz w:val="20"/>
          <w:szCs w:val="20"/>
        </w:rPr>
        <w:t>F</w:t>
      </w:r>
      <w:r w:rsidR="005F010F" w:rsidRPr="00D11AF2">
        <w:rPr>
          <w:sz w:val="20"/>
          <w:szCs w:val="20"/>
        </w:rPr>
        <w:t>all 2010</w:t>
      </w:r>
      <w:r w:rsidRPr="00D11AF2">
        <w:rPr>
          <w:sz w:val="20"/>
          <w:szCs w:val="20"/>
        </w:rPr>
        <w:t xml:space="preserve"> semesters</w:t>
      </w:r>
      <w:r w:rsidR="005F010F" w:rsidRPr="00D11AF2">
        <w:rPr>
          <w:sz w:val="20"/>
          <w:szCs w:val="20"/>
        </w:rPr>
        <w:t xml:space="preserve"> in selected </w:t>
      </w:r>
      <w:r w:rsidRPr="00D11AF2">
        <w:rPr>
          <w:sz w:val="20"/>
          <w:szCs w:val="20"/>
        </w:rPr>
        <w:t xml:space="preserve">regions.  </w:t>
      </w:r>
      <w:r w:rsidR="002A1F7C" w:rsidRPr="00D11AF2">
        <w:rPr>
          <w:sz w:val="20"/>
          <w:szCs w:val="20"/>
        </w:rPr>
        <w:t>Clayton State University currently suffers from low name and program recognition, even throughout the Metropolitan Atlanta area.  While the Office of Recruitment and Admissions has some marketing and public relations efforts underway, few advertising projects were schedul</w:t>
      </w:r>
      <w:r w:rsidR="00E0516B" w:rsidRPr="00D11AF2">
        <w:rPr>
          <w:sz w:val="20"/>
          <w:szCs w:val="20"/>
        </w:rPr>
        <w:t>ed because of anticipated decline in application fee revenue</w:t>
      </w:r>
      <w:r w:rsidR="002A1F7C" w:rsidRPr="00D11AF2">
        <w:rPr>
          <w:sz w:val="20"/>
          <w:szCs w:val="20"/>
        </w:rPr>
        <w:t>.  With additional funds, a variety of strategically-placed ads would reinforce the current communication initiatives (which include publications, e-communication, and recruitment at public events).</w:t>
      </w:r>
    </w:p>
    <w:p w:rsidR="002A1F7C" w:rsidRDefault="002A1F7C" w:rsidP="005F010F"/>
    <w:p w:rsidR="00EE7FB6" w:rsidRPr="00415D9C" w:rsidRDefault="002A1F7C" w:rsidP="002A1F7C">
      <w:pPr>
        <w:rPr>
          <w:b/>
        </w:rPr>
      </w:pPr>
      <w:r w:rsidRPr="00415D9C">
        <w:rPr>
          <w:b/>
        </w:rPr>
        <w:t xml:space="preserve">Explain how the amount was determined.  </w:t>
      </w:r>
      <w:r w:rsidR="00EE7FB6" w:rsidRPr="00415D9C">
        <w:rPr>
          <w:b/>
        </w:rPr>
        <w:t xml:space="preserve">  </w:t>
      </w:r>
      <w:r w:rsidR="005F010F" w:rsidRPr="00415D9C">
        <w:rPr>
          <w:b/>
        </w:rPr>
        <w:t xml:space="preserve">  </w:t>
      </w:r>
    </w:p>
    <w:p w:rsidR="00415D9C" w:rsidRPr="00D11AF2" w:rsidRDefault="005F010F" w:rsidP="005F010F">
      <w:pPr>
        <w:rPr>
          <w:sz w:val="20"/>
          <w:szCs w:val="20"/>
        </w:rPr>
      </w:pPr>
      <w:r w:rsidRPr="00D11AF2">
        <w:rPr>
          <w:sz w:val="20"/>
          <w:szCs w:val="20"/>
        </w:rPr>
        <w:t>The amount w</w:t>
      </w:r>
      <w:r w:rsidR="002A1F7C" w:rsidRPr="00D11AF2">
        <w:rPr>
          <w:sz w:val="20"/>
          <w:szCs w:val="20"/>
        </w:rPr>
        <w:t xml:space="preserve">as </w:t>
      </w:r>
      <w:r w:rsidR="00415D9C" w:rsidRPr="00D11AF2">
        <w:rPr>
          <w:sz w:val="20"/>
          <w:szCs w:val="20"/>
        </w:rPr>
        <w:t>projected</w:t>
      </w:r>
      <w:r w:rsidR="002A1F7C" w:rsidRPr="00D11AF2">
        <w:rPr>
          <w:sz w:val="20"/>
          <w:szCs w:val="20"/>
        </w:rPr>
        <w:t xml:space="preserve"> from </w:t>
      </w:r>
      <w:proofErr w:type="gramStart"/>
      <w:r w:rsidR="002A1F7C" w:rsidRPr="00D11AF2">
        <w:rPr>
          <w:sz w:val="20"/>
          <w:szCs w:val="20"/>
        </w:rPr>
        <w:t>Summer</w:t>
      </w:r>
      <w:proofErr w:type="gramEnd"/>
      <w:r w:rsidR="002A1F7C" w:rsidRPr="00D11AF2">
        <w:rPr>
          <w:sz w:val="20"/>
          <w:szCs w:val="20"/>
        </w:rPr>
        <w:t xml:space="preserve"> </w:t>
      </w:r>
      <w:r w:rsidRPr="00D11AF2">
        <w:rPr>
          <w:sz w:val="20"/>
          <w:szCs w:val="20"/>
        </w:rPr>
        <w:t>2009</w:t>
      </w:r>
      <w:r w:rsidR="002A1F7C" w:rsidRPr="00D11AF2">
        <w:rPr>
          <w:sz w:val="20"/>
          <w:szCs w:val="20"/>
        </w:rPr>
        <w:t xml:space="preserve"> research of local media groups and advertising agencies</w:t>
      </w:r>
      <w:r w:rsidRPr="00D11AF2">
        <w:rPr>
          <w:sz w:val="20"/>
          <w:szCs w:val="20"/>
        </w:rPr>
        <w:t xml:space="preserve">.   The Admissions budget </w:t>
      </w:r>
      <w:r w:rsidR="002A1F7C" w:rsidRPr="00D11AF2">
        <w:rPr>
          <w:sz w:val="20"/>
          <w:szCs w:val="20"/>
        </w:rPr>
        <w:t xml:space="preserve">currently </w:t>
      </w:r>
      <w:r w:rsidRPr="00D11AF2">
        <w:rPr>
          <w:sz w:val="20"/>
          <w:szCs w:val="20"/>
        </w:rPr>
        <w:t xml:space="preserve">provides funds for phone calling, mail, brochures, special events and </w:t>
      </w:r>
      <w:r w:rsidR="002A1F7C" w:rsidRPr="00D11AF2">
        <w:rPr>
          <w:sz w:val="20"/>
          <w:szCs w:val="20"/>
        </w:rPr>
        <w:t>few</w:t>
      </w:r>
      <w:r w:rsidRPr="00D11AF2">
        <w:rPr>
          <w:sz w:val="20"/>
          <w:szCs w:val="20"/>
        </w:rPr>
        <w:t xml:space="preserve"> </w:t>
      </w:r>
      <w:r w:rsidR="002A1F7C" w:rsidRPr="00D11AF2">
        <w:rPr>
          <w:sz w:val="20"/>
          <w:szCs w:val="20"/>
        </w:rPr>
        <w:t>individual</w:t>
      </w:r>
      <w:r w:rsidRPr="00D11AF2">
        <w:rPr>
          <w:sz w:val="20"/>
          <w:szCs w:val="20"/>
        </w:rPr>
        <w:t xml:space="preserve"> advertising</w:t>
      </w:r>
      <w:r w:rsidR="002A1F7C" w:rsidRPr="00D11AF2">
        <w:rPr>
          <w:sz w:val="20"/>
          <w:szCs w:val="20"/>
        </w:rPr>
        <w:t xml:space="preserve"> projects</w:t>
      </w:r>
      <w:r w:rsidRPr="00D11AF2">
        <w:rPr>
          <w:sz w:val="20"/>
          <w:szCs w:val="20"/>
        </w:rPr>
        <w:t xml:space="preserve">, but does not have monies to do </w:t>
      </w:r>
      <w:r w:rsidR="002A1F7C" w:rsidRPr="00D11AF2">
        <w:rPr>
          <w:sz w:val="20"/>
          <w:szCs w:val="20"/>
        </w:rPr>
        <w:t>larger-scale publicity</w:t>
      </w:r>
      <w:r w:rsidRPr="00D11AF2">
        <w:rPr>
          <w:sz w:val="20"/>
          <w:szCs w:val="20"/>
        </w:rPr>
        <w:t xml:space="preserve">.  </w:t>
      </w:r>
    </w:p>
    <w:p w:rsidR="00415D9C" w:rsidRPr="00D11AF2" w:rsidRDefault="00415D9C" w:rsidP="005F010F">
      <w:pPr>
        <w:rPr>
          <w:sz w:val="20"/>
          <w:szCs w:val="20"/>
        </w:rPr>
      </w:pPr>
    </w:p>
    <w:p w:rsidR="005F010F" w:rsidRPr="00D11AF2" w:rsidRDefault="005F010F" w:rsidP="005F010F">
      <w:pPr>
        <w:rPr>
          <w:sz w:val="20"/>
          <w:szCs w:val="20"/>
        </w:rPr>
      </w:pPr>
      <w:r w:rsidRPr="00D11AF2">
        <w:rPr>
          <w:sz w:val="20"/>
          <w:szCs w:val="20"/>
        </w:rPr>
        <w:t xml:space="preserve">The advertising will </w:t>
      </w:r>
      <w:r w:rsidR="00E0516B" w:rsidRPr="00D11AF2">
        <w:rPr>
          <w:sz w:val="20"/>
          <w:szCs w:val="20"/>
        </w:rPr>
        <w:t xml:space="preserve">be </w:t>
      </w:r>
      <w:r w:rsidR="00415D9C" w:rsidRPr="00D11AF2">
        <w:rPr>
          <w:sz w:val="20"/>
          <w:szCs w:val="20"/>
        </w:rPr>
        <w:t>oriented toward admission to the</w:t>
      </w:r>
      <w:r w:rsidRPr="00D11AF2">
        <w:rPr>
          <w:sz w:val="20"/>
          <w:szCs w:val="20"/>
        </w:rPr>
        <w:t xml:space="preserve"> university in general</w:t>
      </w:r>
      <w:r w:rsidR="00415D9C" w:rsidRPr="00D11AF2">
        <w:rPr>
          <w:sz w:val="20"/>
          <w:szCs w:val="20"/>
        </w:rPr>
        <w:t xml:space="preserve">, </w:t>
      </w:r>
      <w:r w:rsidRPr="00D11AF2">
        <w:rPr>
          <w:sz w:val="20"/>
          <w:szCs w:val="20"/>
        </w:rPr>
        <w:t xml:space="preserve">rather than </w:t>
      </w:r>
      <w:r w:rsidR="00415D9C" w:rsidRPr="00D11AF2">
        <w:rPr>
          <w:sz w:val="20"/>
          <w:szCs w:val="20"/>
        </w:rPr>
        <w:t xml:space="preserve">to specific programs.  </w:t>
      </w:r>
      <w:r w:rsidRPr="00D11AF2">
        <w:rPr>
          <w:sz w:val="20"/>
          <w:szCs w:val="20"/>
        </w:rPr>
        <w:t xml:space="preserve"> </w:t>
      </w:r>
      <w:r w:rsidR="00415D9C" w:rsidRPr="00D11AF2">
        <w:rPr>
          <w:sz w:val="20"/>
          <w:szCs w:val="20"/>
        </w:rPr>
        <w:t>T</w:t>
      </w:r>
      <w:r w:rsidRPr="00D11AF2">
        <w:rPr>
          <w:sz w:val="20"/>
          <w:szCs w:val="20"/>
        </w:rPr>
        <w:t>he university as a whole will benefit from increased enrollment which, after all, is the source of part of these “unexpected” monies.</w:t>
      </w:r>
    </w:p>
    <w:p w:rsidR="005F010F" w:rsidRDefault="005F010F" w:rsidP="005F010F">
      <w:pPr>
        <w:rPr>
          <w:color w:val="1F497D"/>
        </w:rPr>
      </w:pPr>
    </w:p>
    <w:tbl>
      <w:tblPr>
        <w:tblW w:w="0" w:type="auto"/>
        <w:tblCellMar>
          <w:left w:w="0" w:type="dxa"/>
          <w:right w:w="0" w:type="dxa"/>
        </w:tblCellMar>
        <w:tblLook w:val="04A0"/>
      </w:tblPr>
      <w:tblGrid>
        <w:gridCol w:w="3348"/>
        <w:gridCol w:w="1800"/>
        <w:gridCol w:w="1440"/>
        <w:gridCol w:w="1710"/>
        <w:gridCol w:w="1170"/>
      </w:tblGrid>
      <w:tr w:rsidR="005F010F" w:rsidTr="005F010F">
        <w:tc>
          <w:tcPr>
            <w:tcW w:w="3348" w:type="dxa"/>
            <w:tcBorders>
              <w:top w:val="single" w:sz="8" w:space="0" w:color="auto"/>
              <w:left w:val="single" w:sz="8" w:space="0" w:color="auto"/>
              <w:bottom w:val="single" w:sz="8" w:space="0" w:color="auto"/>
              <w:right w:val="single" w:sz="8" w:space="0" w:color="auto"/>
            </w:tcBorders>
            <w:shd w:val="clear" w:color="auto" w:fill="F79646"/>
            <w:tcMar>
              <w:top w:w="0" w:type="dxa"/>
              <w:left w:w="108" w:type="dxa"/>
              <w:bottom w:w="0" w:type="dxa"/>
              <w:right w:w="108" w:type="dxa"/>
            </w:tcMar>
            <w:hideMark/>
          </w:tcPr>
          <w:p w:rsidR="005F010F" w:rsidRDefault="00776869">
            <w:pPr>
              <w:rPr>
                <w:rFonts w:ascii="Cambria" w:hAnsi="Cambria"/>
                <w:b/>
                <w:bCs/>
                <w:color w:val="FFFFFF"/>
                <w:sz w:val="24"/>
                <w:szCs w:val="24"/>
              </w:rPr>
            </w:pPr>
            <w:r>
              <w:rPr>
                <w:rFonts w:ascii="Cambria" w:hAnsi="Cambria"/>
                <w:b/>
                <w:bCs/>
                <w:color w:val="FFFFFF"/>
                <w:sz w:val="24"/>
                <w:szCs w:val="24"/>
              </w:rPr>
              <w:t>Advertising</w:t>
            </w:r>
          </w:p>
        </w:tc>
        <w:tc>
          <w:tcPr>
            <w:tcW w:w="1800" w:type="dxa"/>
            <w:tcBorders>
              <w:top w:val="single" w:sz="8" w:space="0" w:color="auto"/>
              <w:left w:val="nil"/>
              <w:bottom w:val="single" w:sz="8" w:space="0" w:color="auto"/>
              <w:right w:val="single" w:sz="8" w:space="0" w:color="auto"/>
            </w:tcBorders>
            <w:shd w:val="clear" w:color="auto" w:fill="F79646"/>
            <w:tcMar>
              <w:top w:w="0" w:type="dxa"/>
              <w:left w:w="108" w:type="dxa"/>
              <w:bottom w:w="0" w:type="dxa"/>
              <w:right w:w="108" w:type="dxa"/>
            </w:tcMar>
            <w:hideMark/>
          </w:tcPr>
          <w:p w:rsidR="005F010F" w:rsidRPr="00776869" w:rsidRDefault="005F010F">
            <w:pPr>
              <w:rPr>
                <w:rFonts w:ascii="Cambria" w:hAnsi="Cambria"/>
                <w:b/>
                <w:bCs/>
                <w:sz w:val="24"/>
                <w:szCs w:val="24"/>
              </w:rPr>
            </w:pPr>
          </w:p>
        </w:tc>
        <w:tc>
          <w:tcPr>
            <w:tcW w:w="1440" w:type="dxa"/>
            <w:tcBorders>
              <w:top w:val="single" w:sz="8" w:space="0" w:color="auto"/>
              <w:left w:val="nil"/>
              <w:bottom w:val="single" w:sz="8" w:space="0" w:color="auto"/>
              <w:right w:val="single" w:sz="8" w:space="0" w:color="auto"/>
            </w:tcBorders>
            <w:shd w:val="clear" w:color="auto" w:fill="F79646"/>
            <w:tcMar>
              <w:top w:w="0" w:type="dxa"/>
              <w:left w:w="108" w:type="dxa"/>
              <w:bottom w:w="0" w:type="dxa"/>
              <w:right w:w="108" w:type="dxa"/>
            </w:tcMar>
            <w:hideMark/>
          </w:tcPr>
          <w:p w:rsidR="005F010F" w:rsidRPr="00776869" w:rsidRDefault="005F010F">
            <w:pPr>
              <w:rPr>
                <w:rFonts w:ascii="Cambria" w:hAnsi="Cambria"/>
                <w:b/>
                <w:bCs/>
                <w:sz w:val="24"/>
                <w:szCs w:val="24"/>
              </w:rPr>
            </w:pPr>
          </w:p>
        </w:tc>
        <w:tc>
          <w:tcPr>
            <w:tcW w:w="1710" w:type="dxa"/>
            <w:tcBorders>
              <w:top w:val="single" w:sz="8" w:space="0" w:color="auto"/>
              <w:left w:val="nil"/>
              <w:bottom w:val="single" w:sz="8" w:space="0" w:color="auto"/>
              <w:right w:val="single" w:sz="8" w:space="0" w:color="auto"/>
            </w:tcBorders>
            <w:shd w:val="clear" w:color="auto" w:fill="F79646"/>
            <w:tcMar>
              <w:top w:w="0" w:type="dxa"/>
              <w:left w:w="108" w:type="dxa"/>
              <w:bottom w:w="0" w:type="dxa"/>
              <w:right w:w="108" w:type="dxa"/>
            </w:tcMar>
            <w:hideMark/>
          </w:tcPr>
          <w:p w:rsidR="005F010F" w:rsidRPr="00776869" w:rsidRDefault="005F010F">
            <w:pPr>
              <w:rPr>
                <w:rFonts w:ascii="Cambria" w:hAnsi="Cambria"/>
                <w:b/>
                <w:bCs/>
                <w:sz w:val="24"/>
                <w:szCs w:val="24"/>
              </w:rPr>
            </w:pPr>
          </w:p>
        </w:tc>
        <w:tc>
          <w:tcPr>
            <w:tcW w:w="1170" w:type="dxa"/>
            <w:tcBorders>
              <w:top w:val="single" w:sz="8" w:space="0" w:color="auto"/>
              <w:left w:val="nil"/>
              <w:bottom w:val="single" w:sz="8" w:space="0" w:color="auto"/>
              <w:right w:val="single" w:sz="8" w:space="0" w:color="auto"/>
            </w:tcBorders>
            <w:shd w:val="clear" w:color="auto" w:fill="F79646"/>
            <w:tcMar>
              <w:top w:w="0" w:type="dxa"/>
              <w:left w:w="108" w:type="dxa"/>
              <w:bottom w:w="0" w:type="dxa"/>
              <w:right w:w="108" w:type="dxa"/>
            </w:tcMar>
            <w:hideMark/>
          </w:tcPr>
          <w:p w:rsidR="005F010F" w:rsidRDefault="005F010F">
            <w:pPr>
              <w:rPr>
                <w:rFonts w:ascii="Cambria" w:hAnsi="Cambria"/>
                <w:b/>
                <w:bCs/>
                <w:color w:val="FFFFFF"/>
                <w:sz w:val="24"/>
                <w:szCs w:val="24"/>
              </w:rPr>
            </w:pPr>
            <w:r>
              <w:rPr>
                <w:rFonts w:ascii="Cambria" w:hAnsi="Cambria"/>
                <w:b/>
                <w:bCs/>
                <w:color w:val="FFFFFF"/>
                <w:sz w:val="24"/>
                <w:szCs w:val="24"/>
              </w:rPr>
              <w:t xml:space="preserve">Total </w:t>
            </w:r>
          </w:p>
        </w:tc>
      </w:tr>
      <w:tr w:rsidR="00776869" w:rsidTr="00776869">
        <w:trPr>
          <w:trHeight w:hRule="exact" w:val="452"/>
        </w:trPr>
        <w:tc>
          <w:tcPr>
            <w:tcW w:w="3348" w:type="dxa"/>
            <w:tcBorders>
              <w:top w:val="nil"/>
              <w:left w:val="single" w:sz="8" w:space="0" w:color="auto"/>
              <w:bottom w:val="single" w:sz="8" w:space="0" w:color="auto"/>
              <w:right w:val="single" w:sz="8" w:space="0" w:color="auto"/>
            </w:tcBorders>
            <w:shd w:val="clear" w:color="auto" w:fill="FDE4D0"/>
            <w:tcMar>
              <w:top w:w="0" w:type="dxa"/>
              <w:left w:w="108" w:type="dxa"/>
              <w:bottom w:w="0" w:type="dxa"/>
              <w:right w:w="108" w:type="dxa"/>
            </w:tcMar>
          </w:tcPr>
          <w:p w:rsidR="00776869" w:rsidRPr="00776869" w:rsidRDefault="00776869" w:rsidP="00776869">
            <w:pPr>
              <w:rPr>
                <w:b/>
                <w:bCs/>
                <w:sz w:val="20"/>
                <w:szCs w:val="20"/>
              </w:rPr>
            </w:pPr>
            <w:r w:rsidRPr="00776869">
              <w:rPr>
                <w:b/>
                <w:bCs/>
                <w:sz w:val="20"/>
                <w:szCs w:val="20"/>
              </w:rPr>
              <w:t>Newspapers:</w:t>
            </w:r>
          </w:p>
          <w:p w:rsidR="00776869" w:rsidRPr="005F010F" w:rsidRDefault="00776869">
            <w:pPr>
              <w:rPr>
                <w:b/>
                <w:bCs/>
                <w:sz w:val="20"/>
                <w:szCs w:val="20"/>
              </w:rPr>
            </w:pPr>
          </w:p>
        </w:tc>
        <w:tc>
          <w:tcPr>
            <w:tcW w:w="180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rsidP="00E76134">
            <w:pPr>
              <w:rPr>
                <w:rFonts w:asciiTheme="minorHAnsi" w:hAnsiTheme="minorHAnsi"/>
                <w:b/>
                <w:bCs/>
                <w:sz w:val="16"/>
                <w:szCs w:val="16"/>
              </w:rPr>
            </w:pPr>
            <w:r w:rsidRPr="00776869">
              <w:rPr>
                <w:rFonts w:asciiTheme="minorHAnsi" w:hAnsiTheme="minorHAnsi"/>
                <w:b/>
                <w:bCs/>
                <w:sz w:val="16"/>
                <w:szCs w:val="16"/>
              </w:rPr>
              <w:t xml:space="preserve"># runs from </w:t>
            </w:r>
            <w:r w:rsidR="00723323">
              <w:rPr>
                <w:rFonts w:asciiTheme="minorHAnsi" w:hAnsiTheme="minorHAnsi"/>
                <w:b/>
                <w:bCs/>
                <w:sz w:val="16"/>
                <w:szCs w:val="16"/>
              </w:rPr>
              <w:t>3</w:t>
            </w:r>
            <w:r w:rsidRPr="00776869">
              <w:rPr>
                <w:rFonts w:asciiTheme="minorHAnsi" w:hAnsiTheme="minorHAnsi"/>
                <w:b/>
                <w:bCs/>
                <w:sz w:val="16"/>
                <w:szCs w:val="16"/>
              </w:rPr>
              <w:t>/1/</w:t>
            </w:r>
            <w:r w:rsidR="00723323">
              <w:rPr>
                <w:rFonts w:asciiTheme="minorHAnsi" w:hAnsiTheme="minorHAnsi"/>
                <w:b/>
                <w:bCs/>
                <w:sz w:val="16"/>
                <w:szCs w:val="16"/>
              </w:rPr>
              <w:t>10</w:t>
            </w:r>
          </w:p>
          <w:p w:rsidR="00776869" w:rsidRPr="00776869" w:rsidRDefault="00776869" w:rsidP="00E76134">
            <w:pPr>
              <w:rPr>
                <w:rFonts w:asciiTheme="minorHAnsi" w:hAnsiTheme="minorHAnsi"/>
                <w:b/>
                <w:bCs/>
                <w:sz w:val="16"/>
                <w:szCs w:val="16"/>
              </w:rPr>
            </w:pPr>
            <w:r w:rsidRPr="00776869">
              <w:rPr>
                <w:rFonts w:asciiTheme="minorHAnsi" w:hAnsiTheme="minorHAnsi"/>
                <w:b/>
                <w:bCs/>
                <w:sz w:val="16"/>
                <w:szCs w:val="16"/>
              </w:rPr>
              <w:t>to 6/30/10</w:t>
            </w:r>
          </w:p>
        </w:tc>
        <w:tc>
          <w:tcPr>
            <w:tcW w:w="144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Pr="00776869" w:rsidRDefault="00776869" w:rsidP="00E76134">
            <w:pPr>
              <w:rPr>
                <w:rFonts w:asciiTheme="minorHAnsi" w:hAnsiTheme="minorHAnsi"/>
                <w:b/>
                <w:bCs/>
                <w:sz w:val="16"/>
                <w:szCs w:val="16"/>
              </w:rPr>
            </w:pPr>
            <w:r w:rsidRPr="00776869">
              <w:rPr>
                <w:rFonts w:asciiTheme="minorHAnsi" w:hAnsiTheme="minorHAnsi"/>
                <w:b/>
                <w:bCs/>
                <w:sz w:val="16"/>
                <w:szCs w:val="16"/>
              </w:rPr>
              <w:t>Cost per run</w:t>
            </w:r>
          </w:p>
        </w:tc>
        <w:tc>
          <w:tcPr>
            <w:tcW w:w="171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Pr="00776869" w:rsidRDefault="00776869" w:rsidP="00E76134">
            <w:pPr>
              <w:rPr>
                <w:rFonts w:asciiTheme="minorHAnsi" w:hAnsiTheme="minorHAnsi"/>
                <w:b/>
                <w:bCs/>
                <w:sz w:val="16"/>
                <w:szCs w:val="16"/>
              </w:rPr>
            </w:pPr>
            <w:r w:rsidRPr="00776869">
              <w:rPr>
                <w:rFonts w:asciiTheme="minorHAnsi" w:hAnsiTheme="minorHAnsi"/>
                <w:b/>
                <w:bCs/>
                <w:sz w:val="16"/>
                <w:szCs w:val="16"/>
              </w:rPr>
              <w:t>Total per paper</w:t>
            </w:r>
          </w:p>
        </w:tc>
        <w:tc>
          <w:tcPr>
            <w:tcW w:w="117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rsidP="00723323"/>
        </w:tc>
      </w:tr>
      <w:tr w:rsidR="00776869" w:rsidTr="00E76134">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869" w:rsidRPr="00D11AF2" w:rsidRDefault="00776869" w:rsidP="00776869">
            <w:pPr>
              <w:pStyle w:val="ListParagraph"/>
              <w:numPr>
                <w:ilvl w:val="0"/>
                <w:numId w:val="11"/>
              </w:numPr>
              <w:rPr>
                <w:rFonts w:asciiTheme="minorHAnsi" w:hAnsiTheme="minorHAnsi"/>
                <w:b/>
                <w:bCs/>
                <w:sz w:val="20"/>
                <w:szCs w:val="20"/>
              </w:rPr>
            </w:pPr>
            <w:r w:rsidRPr="00D11AF2">
              <w:rPr>
                <w:rFonts w:asciiTheme="minorHAnsi" w:hAnsiTheme="minorHAnsi"/>
                <w:b/>
                <w:bCs/>
                <w:sz w:val="20"/>
                <w:szCs w:val="20"/>
              </w:rPr>
              <w:t>Fayette County Citizen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76869" w:rsidRDefault="00723323">
            <w: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76869" w:rsidRDefault="00776869">
            <w:r>
              <w:t>$ 560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776869" w:rsidRDefault="00776869" w:rsidP="00723323">
            <w:r>
              <w:t xml:space="preserve">$ </w:t>
            </w:r>
            <w:r w:rsidR="00723323">
              <w:t>1,680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r>
      <w:tr w:rsidR="00776869" w:rsidTr="00E76134">
        <w:tc>
          <w:tcPr>
            <w:tcW w:w="334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Pr="00E76134" w:rsidRDefault="00776869" w:rsidP="00776869">
            <w:pPr>
              <w:pStyle w:val="ListParagraph"/>
              <w:numPr>
                <w:ilvl w:val="0"/>
                <w:numId w:val="11"/>
              </w:numPr>
              <w:rPr>
                <w:rFonts w:asciiTheme="minorHAnsi" w:hAnsiTheme="minorHAnsi"/>
                <w:b/>
                <w:bCs/>
                <w:sz w:val="20"/>
                <w:szCs w:val="20"/>
              </w:rPr>
            </w:pPr>
            <w:r w:rsidRPr="00E76134">
              <w:rPr>
                <w:rFonts w:asciiTheme="minorHAnsi" w:hAnsiTheme="minorHAnsi"/>
                <w:b/>
                <w:bCs/>
                <w:sz w:val="20"/>
                <w:szCs w:val="20"/>
              </w:rPr>
              <w:t>Coweta County Citizen</w:t>
            </w:r>
          </w:p>
        </w:tc>
        <w:tc>
          <w:tcPr>
            <w:tcW w:w="180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Pr="00E76134" w:rsidRDefault="00723323">
            <w:r w:rsidRPr="00E76134">
              <w:t>3</w:t>
            </w:r>
          </w:p>
        </w:tc>
        <w:tc>
          <w:tcPr>
            <w:tcW w:w="14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Pr="00E76134" w:rsidRDefault="00776869">
            <w:r w:rsidRPr="00E76134">
              <w:t>$ 285</w:t>
            </w:r>
          </w:p>
        </w:tc>
        <w:tc>
          <w:tcPr>
            <w:tcW w:w="171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Pr="00E76134" w:rsidRDefault="00776869" w:rsidP="00723323">
            <w:r w:rsidRPr="00E76134">
              <w:t xml:space="preserve">$ </w:t>
            </w:r>
            <w:r w:rsidR="00723323" w:rsidRPr="00E76134">
              <w:t>855</w:t>
            </w:r>
          </w:p>
        </w:tc>
        <w:tc>
          <w:tcPr>
            <w:tcW w:w="117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776869" w:rsidRPr="00E76134" w:rsidRDefault="00776869"/>
        </w:tc>
      </w:tr>
      <w:tr w:rsidR="00776869" w:rsidTr="00A53701">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869" w:rsidRPr="00D11AF2" w:rsidRDefault="00776869" w:rsidP="00776869">
            <w:pPr>
              <w:pStyle w:val="ListParagraph"/>
              <w:numPr>
                <w:ilvl w:val="0"/>
                <w:numId w:val="11"/>
              </w:numPr>
              <w:rPr>
                <w:rFonts w:asciiTheme="minorHAnsi" w:hAnsiTheme="minorHAnsi"/>
                <w:b/>
                <w:bCs/>
                <w:sz w:val="20"/>
                <w:szCs w:val="20"/>
              </w:rPr>
            </w:pPr>
            <w:r w:rsidRPr="00D11AF2">
              <w:rPr>
                <w:rFonts w:asciiTheme="minorHAnsi" w:hAnsiTheme="minorHAnsi"/>
                <w:b/>
                <w:bCs/>
                <w:sz w:val="20"/>
                <w:szCs w:val="20"/>
              </w:rPr>
              <w:t>Peachtree City/Tyrone Citizen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76869" w:rsidRDefault="00723323">
            <w: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76869" w:rsidRDefault="00776869">
            <w:r>
              <w:t>$ 425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776869" w:rsidRDefault="00776869" w:rsidP="00723323">
            <w:r>
              <w:t xml:space="preserve">$ </w:t>
            </w:r>
            <w:r w:rsidR="00723323">
              <w:t>1,275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r>
      <w:tr w:rsidR="00776869" w:rsidTr="00A53701">
        <w:trPr>
          <w:trHeight w:val="538"/>
        </w:trPr>
        <w:tc>
          <w:tcPr>
            <w:tcW w:w="334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Pr="00D11AF2" w:rsidRDefault="00776869" w:rsidP="00776869">
            <w:pPr>
              <w:pStyle w:val="ListParagraph"/>
              <w:numPr>
                <w:ilvl w:val="0"/>
                <w:numId w:val="11"/>
              </w:numPr>
              <w:rPr>
                <w:rFonts w:asciiTheme="minorHAnsi" w:hAnsiTheme="minorHAnsi"/>
                <w:b/>
                <w:bCs/>
                <w:sz w:val="20"/>
                <w:szCs w:val="20"/>
              </w:rPr>
            </w:pPr>
            <w:r w:rsidRPr="00D11AF2">
              <w:rPr>
                <w:rFonts w:asciiTheme="minorHAnsi" w:hAnsiTheme="minorHAnsi"/>
                <w:b/>
                <w:bCs/>
                <w:sz w:val="20"/>
                <w:szCs w:val="20"/>
              </w:rPr>
              <w:t>Clayton News Daily/Henry Herald Saturday combo</w:t>
            </w:r>
          </w:p>
        </w:tc>
        <w:tc>
          <w:tcPr>
            <w:tcW w:w="180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Default="00723323">
            <w:r>
              <w:t>3</w:t>
            </w:r>
          </w:p>
        </w:tc>
        <w:tc>
          <w:tcPr>
            <w:tcW w:w="14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Default="00776869" w:rsidP="00723323">
            <w:r>
              <w:t xml:space="preserve">$ </w:t>
            </w:r>
            <w:r w:rsidR="00723323">
              <w:t>1,000</w:t>
            </w:r>
          </w:p>
        </w:tc>
        <w:tc>
          <w:tcPr>
            <w:tcW w:w="171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76869" w:rsidRDefault="00723323">
            <w:r>
              <w:t>$3,000</w:t>
            </w:r>
          </w:p>
        </w:tc>
        <w:tc>
          <w:tcPr>
            <w:tcW w:w="117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776869" w:rsidRDefault="00776869"/>
          <w:p w:rsidR="00776869" w:rsidRDefault="00776869"/>
        </w:tc>
      </w:tr>
      <w:tr w:rsidR="00776869" w:rsidTr="00A53701">
        <w:tc>
          <w:tcPr>
            <w:tcW w:w="334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776869" w:rsidRPr="00D11AF2" w:rsidRDefault="00723323" w:rsidP="00723323">
            <w:pPr>
              <w:pStyle w:val="ListParagraph"/>
              <w:numPr>
                <w:ilvl w:val="0"/>
                <w:numId w:val="11"/>
              </w:numPr>
              <w:rPr>
                <w:rFonts w:asciiTheme="minorHAnsi" w:hAnsiTheme="minorHAnsi"/>
                <w:b/>
                <w:bCs/>
                <w:sz w:val="20"/>
                <w:szCs w:val="20"/>
              </w:rPr>
            </w:pPr>
            <w:r w:rsidRPr="00D11AF2">
              <w:rPr>
                <w:rFonts w:asciiTheme="minorHAnsi" w:hAnsiTheme="minorHAnsi"/>
                <w:b/>
                <w:bCs/>
                <w:sz w:val="20"/>
                <w:szCs w:val="20"/>
              </w:rPr>
              <w:t>Georgia Perimeter Collegian</w:t>
            </w:r>
          </w:p>
        </w:tc>
        <w:tc>
          <w:tcPr>
            <w:tcW w:w="180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776869" w:rsidRDefault="00723323">
            <w:r>
              <w:t>3</w:t>
            </w:r>
          </w:p>
        </w:tc>
        <w:tc>
          <w:tcPr>
            <w:tcW w:w="144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776869" w:rsidRDefault="00723323">
            <w:r>
              <w:t>$540</w:t>
            </w:r>
          </w:p>
        </w:tc>
        <w:tc>
          <w:tcPr>
            <w:tcW w:w="171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776869" w:rsidRDefault="00723323">
            <w:r>
              <w:t>$1,620</w:t>
            </w:r>
          </w:p>
        </w:tc>
        <w:tc>
          <w:tcPr>
            <w:tcW w:w="11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6869" w:rsidRDefault="00776869"/>
        </w:tc>
      </w:tr>
      <w:tr w:rsidR="00A53701" w:rsidTr="00A53701">
        <w:trPr>
          <w:trHeight w:val="115"/>
        </w:trPr>
        <w:tc>
          <w:tcPr>
            <w:tcW w:w="3348" w:type="dxa"/>
            <w:tcBorders>
              <w:top w:val="single" w:sz="8" w:space="0" w:color="auto"/>
              <w:left w:val="single" w:sz="8" w:space="0" w:color="auto"/>
              <w:bottom w:val="single" w:sz="8" w:space="0" w:color="auto"/>
              <w:right w:val="single" w:sz="4" w:space="0" w:color="auto"/>
            </w:tcBorders>
            <w:shd w:val="clear" w:color="auto" w:fill="FDE9D9" w:themeFill="accent6" w:themeFillTint="33"/>
            <w:tcMar>
              <w:top w:w="0" w:type="dxa"/>
              <w:left w:w="108" w:type="dxa"/>
              <w:bottom w:w="0" w:type="dxa"/>
              <w:right w:w="108" w:type="dxa"/>
            </w:tcMar>
          </w:tcPr>
          <w:p w:rsidR="00A53701" w:rsidRPr="00723323" w:rsidRDefault="00A53701" w:rsidP="00723323">
            <w:pPr>
              <w:pStyle w:val="ListParagraph"/>
              <w:rPr>
                <w:b/>
                <w:bCs/>
                <w:sz w:val="20"/>
                <w:szCs w:val="20"/>
              </w:rPr>
            </w:pPr>
          </w:p>
        </w:tc>
        <w:tc>
          <w:tcPr>
            <w:tcW w:w="1800" w:type="dxa"/>
            <w:tcBorders>
              <w:top w:val="single" w:sz="8" w:space="0" w:color="auto"/>
              <w:left w:val="single" w:sz="4" w:space="0" w:color="auto"/>
              <w:bottom w:val="single" w:sz="8" w:space="0" w:color="auto"/>
              <w:right w:val="single" w:sz="4" w:space="0" w:color="auto"/>
            </w:tcBorders>
            <w:shd w:val="clear" w:color="auto" w:fill="FDE9D9" w:themeFill="accent6" w:themeFillTint="33"/>
            <w:tcMar>
              <w:top w:w="0" w:type="dxa"/>
              <w:left w:w="108" w:type="dxa"/>
              <w:bottom w:w="0" w:type="dxa"/>
              <w:right w:w="108" w:type="dxa"/>
            </w:tcMar>
          </w:tcPr>
          <w:p w:rsidR="00A53701" w:rsidRDefault="00A53701"/>
        </w:tc>
        <w:tc>
          <w:tcPr>
            <w:tcW w:w="1440" w:type="dxa"/>
            <w:tcBorders>
              <w:top w:val="single" w:sz="8" w:space="0" w:color="auto"/>
              <w:left w:val="single" w:sz="4" w:space="0" w:color="auto"/>
              <w:bottom w:val="single" w:sz="8" w:space="0" w:color="auto"/>
              <w:right w:val="single" w:sz="4" w:space="0" w:color="auto"/>
            </w:tcBorders>
            <w:shd w:val="clear" w:color="auto" w:fill="FDE9D9" w:themeFill="accent6" w:themeFillTint="33"/>
            <w:tcMar>
              <w:top w:w="0" w:type="dxa"/>
              <w:left w:w="108" w:type="dxa"/>
              <w:bottom w:w="0" w:type="dxa"/>
              <w:right w:w="108" w:type="dxa"/>
            </w:tcMar>
          </w:tcPr>
          <w:p w:rsidR="00A53701" w:rsidRDefault="00A53701"/>
        </w:tc>
        <w:tc>
          <w:tcPr>
            <w:tcW w:w="1710" w:type="dxa"/>
            <w:tcBorders>
              <w:top w:val="single" w:sz="8" w:space="0" w:color="auto"/>
              <w:left w:val="single" w:sz="4" w:space="0" w:color="auto"/>
              <w:bottom w:val="single" w:sz="8" w:space="0" w:color="auto"/>
              <w:right w:val="single" w:sz="4" w:space="0" w:color="auto"/>
            </w:tcBorders>
            <w:shd w:val="clear" w:color="auto" w:fill="FDE9D9" w:themeFill="accent6" w:themeFillTint="33"/>
            <w:tcMar>
              <w:top w:w="0" w:type="dxa"/>
              <w:left w:w="108" w:type="dxa"/>
              <w:bottom w:w="0" w:type="dxa"/>
              <w:right w:w="108" w:type="dxa"/>
            </w:tcMar>
          </w:tcPr>
          <w:p w:rsidR="00A53701" w:rsidRDefault="00A53701"/>
        </w:tc>
        <w:tc>
          <w:tcPr>
            <w:tcW w:w="1170" w:type="dxa"/>
            <w:tcBorders>
              <w:top w:val="single" w:sz="8" w:space="0" w:color="auto"/>
              <w:left w:val="single" w:sz="4"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tcPr>
          <w:p w:rsidR="00A53701" w:rsidRDefault="00A53701">
            <w:r>
              <w:t>$8,430</w:t>
            </w:r>
          </w:p>
        </w:tc>
      </w:tr>
      <w:tr w:rsidR="00723323" w:rsidTr="00A53701">
        <w:trPr>
          <w:trHeight w:val="160"/>
        </w:trPr>
        <w:tc>
          <w:tcPr>
            <w:tcW w:w="334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723323" w:rsidRPr="00723323" w:rsidRDefault="00723323" w:rsidP="00723323">
            <w:pPr>
              <w:pStyle w:val="ListParagraph"/>
              <w:rPr>
                <w:b/>
                <w:bCs/>
                <w:sz w:val="20"/>
                <w:szCs w:val="20"/>
              </w:rPr>
            </w:pPr>
          </w:p>
        </w:tc>
        <w:tc>
          <w:tcPr>
            <w:tcW w:w="180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723323" w:rsidRDefault="00723323"/>
        </w:tc>
        <w:tc>
          <w:tcPr>
            <w:tcW w:w="144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723323" w:rsidRDefault="00723323"/>
        </w:tc>
        <w:tc>
          <w:tcPr>
            <w:tcW w:w="171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723323" w:rsidRDefault="00723323"/>
        </w:tc>
        <w:tc>
          <w:tcPr>
            <w:tcW w:w="11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23323" w:rsidRDefault="00723323"/>
        </w:tc>
      </w:tr>
      <w:tr w:rsidR="00776869" w:rsidTr="005F010F">
        <w:tc>
          <w:tcPr>
            <w:tcW w:w="6588" w:type="dxa"/>
            <w:gridSpan w:val="3"/>
            <w:tcBorders>
              <w:top w:val="nil"/>
              <w:left w:val="single" w:sz="8" w:space="0" w:color="auto"/>
              <w:bottom w:val="single" w:sz="8" w:space="0" w:color="auto"/>
              <w:right w:val="single" w:sz="8" w:space="0" w:color="auto"/>
            </w:tcBorders>
            <w:shd w:val="clear" w:color="auto" w:fill="FDE4D0"/>
            <w:tcMar>
              <w:top w:w="0" w:type="dxa"/>
              <w:left w:w="108" w:type="dxa"/>
              <w:bottom w:w="0" w:type="dxa"/>
              <w:right w:w="108" w:type="dxa"/>
            </w:tcMar>
            <w:hideMark/>
          </w:tcPr>
          <w:p w:rsidR="00776869" w:rsidRPr="00776869" w:rsidRDefault="00776869" w:rsidP="00776869">
            <w:pPr>
              <w:rPr>
                <w:rFonts w:asciiTheme="minorHAnsi" w:hAnsiTheme="minorHAnsi"/>
                <w:b/>
                <w:bCs/>
                <w:sz w:val="18"/>
                <w:szCs w:val="18"/>
              </w:rPr>
            </w:pPr>
            <w:r w:rsidRPr="00776869">
              <w:rPr>
                <w:rFonts w:asciiTheme="minorHAnsi" w:hAnsiTheme="minorHAnsi"/>
                <w:b/>
                <w:bCs/>
                <w:sz w:val="18"/>
                <w:szCs w:val="18"/>
              </w:rPr>
              <w:t>Video</w:t>
            </w:r>
          </w:p>
          <w:p w:rsidR="00776869" w:rsidRPr="005F010F" w:rsidRDefault="00776869">
            <w:pPr>
              <w:rPr>
                <w:rFonts w:asciiTheme="minorHAnsi" w:hAnsiTheme="minorHAnsi"/>
                <w:b/>
                <w:bCs/>
                <w:sz w:val="18"/>
                <w:szCs w:val="18"/>
              </w:rPr>
            </w:pPr>
            <w:r w:rsidRPr="005F010F">
              <w:rPr>
                <w:rFonts w:asciiTheme="minorHAnsi" w:hAnsiTheme="minorHAnsi"/>
                <w:b/>
                <w:bCs/>
                <w:sz w:val="18"/>
                <w:szCs w:val="18"/>
              </w:rPr>
              <w:t>(funds to develop recruiting video to be placed on the admission web page)</w:t>
            </w:r>
          </w:p>
        </w:tc>
        <w:tc>
          <w:tcPr>
            <w:tcW w:w="171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tc>
        <w:tc>
          <w:tcPr>
            <w:tcW w:w="117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r>
              <w:t>$ 10,000</w:t>
            </w:r>
          </w:p>
        </w:tc>
      </w:tr>
      <w:tr w:rsidR="00776869" w:rsidTr="00D11AF2">
        <w:trPr>
          <w:trHeight w:val="178"/>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869" w:rsidRPr="005F010F" w:rsidRDefault="00776869">
            <w:pPr>
              <w:rPr>
                <w:rFonts w:asciiTheme="minorHAnsi" w:hAnsiTheme="minorHAnsi"/>
                <w:b/>
                <w:bCs/>
                <w:sz w:val="18"/>
                <w:szCs w:val="1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r>
      <w:tr w:rsidR="00776869" w:rsidTr="005F010F">
        <w:tc>
          <w:tcPr>
            <w:tcW w:w="6588" w:type="dxa"/>
            <w:gridSpan w:val="3"/>
            <w:tcBorders>
              <w:top w:val="nil"/>
              <w:left w:val="single" w:sz="8" w:space="0" w:color="auto"/>
              <w:bottom w:val="single" w:sz="8" w:space="0" w:color="auto"/>
              <w:right w:val="single" w:sz="8" w:space="0" w:color="auto"/>
            </w:tcBorders>
            <w:shd w:val="clear" w:color="auto" w:fill="FDE4D0"/>
            <w:tcMar>
              <w:top w:w="0" w:type="dxa"/>
              <w:left w:w="108" w:type="dxa"/>
              <w:bottom w:w="0" w:type="dxa"/>
              <w:right w:w="108" w:type="dxa"/>
            </w:tcMar>
            <w:hideMark/>
          </w:tcPr>
          <w:p w:rsidR="00776869" w:rsidRPr="00776869" w:rsidRDefault="00776869" w:rsidP="00776869">
            <w:pPr>
              <w:rPr>
                <w:rFonts w:asciiTheme="minorHAnsi" w:hAnsiTheme="minorHAnsi"/>
                <w:b/>
                <w:bCs/>
                <w:sz w:val="18"/>
                <w:szCs w:val="18"/>
              </w:rPr>
            </w:pPr>
            <w:r w:rsidRPr="00776869">
              <w:rPr>
                <w:rFonts w:asciiTheme="minorHAnsi" w:hAnsiTheme="minorHAnsi"/>
                <w:b/>
                <w:bCs/>
                <w:sz w:val="18"/>
                <w:szCs w:val="18"/>
              </w:rPr>
              <w:t>On-Line Advertising AJC</w:t>
            </w:r>
          </w:p>
          <w:p w:rsidR="00776869" w:rsidRPr="005F010F" w:rsidRDefault="00776869">
            <w:pPr>
              <w:rPr>
                <w:rFonts w:asciiTheme="minorHAnsi" w:hAnsiTheme="minorHAnsi"/>
                <w:b/>
                <w:bCs/>
                <w:sz w:val="18"/>
                <w:szCs w:val="18"/>
              </w:rPr>
            </w:pPr>
            <w:r w:rsidRPr="005F010F">
              <w:rPr>
                <w:rFonts w:asciiTheme="minorHAnsi" w:hAnsiTheme="minorHAnsi"/>
                <w:b/>
                <w:bCs/>
                <w:sz w:val="18"/>
                <w:szCs w:val="18"/>
              </w:rPr>
              <w:t>(targets people searching higher education southern crescent for spring ’10 enrollment and Atlanta metro for summer ’10 and fall ’10 enrollment)</w:t>
            </w:r>
          </w:p>
        </w:tc>
        <w:tc>
          <w:tcPr>
            <w:tcW w:w="171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tc>
        <w:tc>
          <w:tcPr>
            <w:tcW w:w="117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rsidP="005F010F"/>
          <w:p w:rsidR="00776869" w:rsidRDefault="00776869" w:rsidP="005F010F">
            <w:r>
              <w:t>$ 10,000</w:t>
            </w:r>
          </w:p>
        </w:tc>
      </w:tr>
      <w:tr w:rsidR="00776869" w:rsidTr="005F010F">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869" w:rsidRPr="005F010F" w:rsidRDefault="00776869">
            <w:pPr>
              <w:rPr>
                <w:rFonts w:asciiTheme="minorHAnsi" w:hAnsiTheme="minorHAnsi"/>
                <w:b/>
                <w:bCs/>
                <w:sz w:val="18"/>
                <w:szCs w:val="1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76869" w:rsidRDefault="00776869"/>
        </w:tc>
      </w:tr>
      <w:tr w:rsidR="004A07CB" w:rsidTr="00E76134">
        <w:tc>
          <w:tcPr>
            <w:tcW w:w="6588" w:type="dxa"/>
            <w:gridSpan w:val="3"/>
            <w:tcBorders>
              <w:top w:val="nil"/>
              <w:left w:val="single" w:sz="8" w:space="0" w:color="auto"/>
              <w:bottom w:val="single" w:sz="8" w:space="0" w:color="auto"/>
              <w:right w:val="single" w:sz="8" w:space="0" w:color="auto"/>
            </w:tcBorders>
            <w:shd w:val="clear" w:color="auto" w:fill="FDE4D0"/>
            <w:tcMar>
              <w:top w:w="0" w:type="dxa"/>
              <w:left w:w="108" w:type="dxa"/>
              <w:bottom w:w="0" w:type="dxa"/>
              <w:right w:w="108" w:type="dxa"/>
            </w:tcMar>
            <w:hideMark/>
          </w:tcPr>
          <w:p w:rsidR="004A07CB" w:rsidRDefault="004A07CB">
            <w:r>
              <w:t>Campus Tours</w:t>
            </w:r>
          </w:p>
          <w:p w:rsidR="004A07CB" w:rsidRPr="00D11AF2" w:rsidRDefault="004A07CB" w:rsidP="004A07CB">
            <w:pPr>
              <w:pStyle w:val="ListParagraph"/>
              <w:numPr>
                <w:ilvl w:val="0"/>
                <w:numId w:val="11"/>
              </w:numPr>
              <w:rPr>
                <w:rFonts w:asciiTheme="minorHAnsi" w:hAnsiTheme="minorHAnsi"/>
                <w:sz w:val="20"/>
                <w:szCs w:val="20"/>
              </w:rPr>
            </w:pPr>
            <w:r w:rsidRPr="00D11AF2">
              <w:rPr>
                <w:rFonts w:asciiTheme="minorHAnsi" w:hAnsiTheme="minorHAnsi"/>
                <w:sz w:val="20"/>
                <w:szCs w:val="20"/>
              </w:rPr>
              <w:t>Tour guide shirts “</w:t>
            </w:r>
            <w:proofErr w:type="spellStart"/>
            <w:r w:rsidRPr="00D11AF2">
              <w:rPr>
                <w:rFonts w:asciiTheme="minorHAnsi" w:hAnsiTheme="minorHAnsi"/>
                <w:sz w:val="20"/>
                <w:szCs w:val="20"/>
              </w:rPr>
              <w:t>Laker</w:t>
            </w:r>
            <w:proofErr w:type="spellEnd"/>
            <w:r w:rsidRPr="00D11AF2">
              <w:rPr>
                <w:rFonts w:asciiTheme="minorHAnsi" w:hAnsiTheme="minorHAnsi"/>
                <w:sz w:val="20"/>
                <w:szCs w:val="20"/>
              </w:rPr>
              <w:t xml:space="preserve"> Insiders”</w:t>
            </w:r>
          </w:p>
          <w:p w:rsidR="004A07CB" w:rsidRPr="00D11AF2" w:rsidRDefault="004A07CB" w:rsidP="004A07CB">
            <w:pPr>
              <w:pStyle w:val="ListParagraph"/>
              <w:numPr>
                <w:ilvl w:val="0"/>
                <w:numId w:val="11"/>
              </w:numPr>
              <w:rPr>
                <w:rFonts w:asciiTheme="minorHAnsi" w:hAnsiTheme="minorHAnsi"/>
                <w:sz w:val="20"/>
                <w:szCs w:val="20"/>
              </w:rPr>
            </w:pPr>
            <w:r w:rsidRPr="00D11AF2">
              <w:rPr>
                <w:rFonts w:asciiTheme="minorHAnsi" w:hAnsiTheme="minorHAnsi"/>
                <w:sz w:val="20"/>
                <w:szCs w:val="20"/>
              </w:rPr>
              <w:t>Training Materials</w:t>
            </w:r>
          </w:p>
          <w:p w:rsidR="004A07CB" w:rsidRPr="00D11AF2" w:rsidRDefault="004A07CB" w:rsidP="004A07CB">
            <w:pPr>
              <w:pStyle w:val="ListParagraph"/>
              <w:numPr>
                <w:ilvl w:val="0"/>
                <w:numId w:val="11"/>
              </w:numPr>
              <w:rPr>
                <w:rFonts w:asciiTheme="minorHAnsi" w:hAnsiTheme="minorHAnsi"/>
                <w:sz w:val="20"/>
                <w:szCs w:val="20"/>
              </w:rPr>
            </w:pPr>
            <w:r w:rsidRPr="00D11AF2">
              <w:rPr>
                <w:rFonts w:asciiTheme="minorHAnsi" w:hAnsiTheme="minorHAnsi"/>
                <w:sz w:val="20"/>
                <w:szCs w:val="20"/>
              </w:rPr>
              <w:t>Name Tags</w:t>
            </w:r>
          </w:p>
          <w:p w:rsidR="004A07CB" w:rsidRDefault="004A07CB" w:rsidP="004A07CB">
            <w:pPr>
              <w:pStyle w:val="ListParagraph"/>
              <w:numPr>
                <w:ilvl w:val="0"/>
                <w:numId w:val="11"/>
              </w:numPr>
            </w:pPr>
            <w:r w:rsidRPr="00D11AF2">
              <w:rPr>
                <w:rFonts w:asciiTheme="minorHAnsi" w:hAnsiTheme="minorHAnsi"/>
                <w:sz w:val="20"/>
                <w:szCs w:val="20"/>
              </w:rPr>
              <w:t>Bottled water</w:t>
            </w:r>
          </w:p>
        </w:tc>
        <w:tc>
          <w:tcPr>
            <w:tcW w:w="171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4A07CB" w:rsidRDefault="004A07CB"/>
          <w:p w:rsidR="004A07CB" w:rsidRDefault="004A07CB">
            <w:r>
              <w:t xml:space="preserve">  1,000</w:t>
            </w:r>
          </w:p>
          <w:p w:rsidR="004A07CB" w:rsidRDefault="004A07CB">
            <w:r>
              <w:t xml:space="preserve">     500</w:t>
            </w:r>
          </w:p>
          <w:p w:rsidR="004A07CB" w:rsidRDefault="004A07CB">
            <w:r>
              <w:t xml:space="preserve">     200</w:t>
            </w:r>
          </w:p>
          <w:p w:rsidR="004A07CB" w:rsidRDefault="004A07CB">
            <w:r>
              <w:t xml:space="preserve">     300</w:t>
            </w:r>
          </w:p>
        </w:tc>
        <w:tc>
          <w:tcPr>
            <w:tcW w:w="117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hideMark/>
          </w:tcPr>
          <w:p w:rsidR="004A07CB" w:rsidRDefault="004A07CB"/>
          <w:p w:rsidR="004A07CB" w:rsidRDefault="004A07CB">
            <w:r>
              <w:t>$2,000</w:t>
            </w:r>
          </w:p>
        </w:tc>
      </w:tr>
      <w:tr w:rsidR="00723323" w:rsidTr="005F010F">
        <w:tc>
          <w:tcPr>
            <w:tcW w:w="3348" w:type="dxa"/>
            <w:tcBorders>
              <w:top w:val="nil"/>
              <w:left w:val="single" w:sz="8" w:space="0" w:color="auto"/>
              <w:bottom w:val="single" w:sz="8" w:space="0" w:color="auto"/>
              <w:right w:val="single" w:sz="8" w:space="0" w:color="auto"/>
            </w:tcBorders>
            <w:shd w:val="clear" w:color="auto" w:fill="FDE4D0"/>
            <w:tcMar>
              <w:top w:w="0" w:type="dxa"/>
              <w:left w:w="108" w:type="dxa"/>
              <w:bottom w:w="0" w:type="dxa"/>
              <w:right w:w="108" w:type="dxa"/>
            </w:tcMar>
            <w:hideMark/>
          </w:tcPr>
          <w:p w:rsidR="00723323" w:rsidRDefault="00723323">
            <w:pPr>
              <w:rPr>
                <w:b/>
                <w:bCs/>
              </w:rPr>
            </w:pPr>
          </w:p>
        </w:tc>
        <w:tc>
          <w:tcPr>
            <w:tcW w:w="180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23323" w:rsidRDefault="00723323"/>
        </w:tc>
        <w:tc>
          <w:tcPr>
            <w:tcW w:w="144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23323" w:rsidRDefault="00723323"/>
        </w:tc>
        <w:tc>
          <w:tcPr>
            <w:tcW w:w="171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23323" w:rsidRDefault="00723323"/>
        </w:tc>
        <w:tc>
          <w:tcPr>
            <w:tcW w:w="117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hideMark/>
          </w:tcPr>
          <w:p w:rsidR="00723323" w:rsidRDefault="00723323"/>
        </w:tc>
      </w:tr>
      <w:tr w:rsidR="00776869" w:rsidTr="005F010F">
        <w:tc>
          <w:tcPr>
            <w:tcW w:w="3348" w:type="dxa"/>
            <w:tcBorders>
              <w:top w:val="nil"/>
              <w:left w:val="single" w:sz="8" w:space="0" w:color="auto"/>
              <w:bottom w:val="single" w:sz="8" w:space="0" w:color="auto"/>
              <w:right w:val="single" w:sz="8" w:space="0" w:color="auto"/>
            </w:tcBorders>
            <w:shd w:val="clear" w:color="auto" w:fill="FDE4D0"/>
            <w:tcMar>
              <w:top w:w="0" w:type="dxa"/>
              <w:left w:w="108" w:type="dxa"/>
              <w:bottom w:w="0" w:type="dxa"/>
              <w:right w:w="108" w:type="dxa"/>
            </w:tcMar>
            <w:hideMark/>
          </w:tcPr>
          <w:p w:rsidR="00776869" w:rsidRDefault="00776869">
            <w:pPr>
              <w:rPr>
                <w:b/>
                <w:bCs/>
              </w:rPr>
            </w:pPr>
            <w:r>
              <w:rPr>
                <w:b/>
                <w:bCs/>
              </w:rPr>
              <w:t xml:space="preserve">      Total   </w:t>
            </w:r>
          </w:p>
        </w:tc>
        <w:tc>
          <w:tcPr>
            <w:tcW w:w="180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tc>
        <w:tc>
          <w:tcPr>
            <w:tcW w:w="144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tc>
        <w:tc>
          <w:tcPr>
            <w:tcW w:w="171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tcPr>
          <w:p w:rsidR="00776869" w:rsidRDefault="00776869"/>
        </w:tc>
        <w:tc>
          <w:tcPr>
            <w:tcW w:w="1170" w:type="dxa"/>
            <w:tcBorders>
              <w:top w:val="nil"/>
              <w:left w:val="nil"/>
              <w:bottom w:val="single" w:sz="8" w:space="0" w:color="auto"/>
              <w:right w:val="single" w:sz="8" w:space="0" w:color="auto"/>
            </w:tcBorders>
            <w:shd w:val="clear" w:color="auto" w:fill="FDE4D0"/>
            <w:tcMar>
              <w:top w:w="0" w:type="dxa"/>
              <w:left w:w="108" w:type="dxa"/>
              <w:bottom w:w="0" w:type="dxa"/>
              <w:right w:w="108" w:type="dxa"/>
            </w:tcMar>
            <w:hideMark/>
          </w:tcPr>
          <w:p w:rsidR="00776869" w:rsidRDefault="004A07CB">
            <w:r>
              <w:t>$ 30,430</w:t>
            </w:r>
          </w:p>
        </w:tc>
      </w:tr>
    </w:tbl>
    <w:p w:rsidR="00415D9C" w:rsidRDefault="00415D9C" w:rsidP="00415D9C"/>
    <w:p w:rsidR="00415D9C" w:rsidRDefault="00415D9C" w:rsidP="00415D9C"/>
    <w:p w:rsidR="00A53701" w:rsidRDefault="00A53701" w:rsidP="00415D9C">
      <w:pPr>
        <w:rPr>
          <w:b/>
        </w:rPr>
      </w:pPr>
    </w:p>
    <w:p w:rsidR="00A53701" w:rsidRDefault="00A53701" w:rsidP="00415D9C">
      <w:pPr>
        <w:rPr>
          <w:b/>
        </w:rPr>
      </w:pPr>
    </w:p>
    <w:p w:rsidR="00415D9C" w:rsidRPr="00415D9C" w:rsidRDefault="00415D9C" w:rsidP="00415D9C">
      <w:pPr>
        <w:rPr>
          <w:b/>
        </w:rPr>
      </w:pPr>
      <w:r w:rsidRPr="00415D9C">
        <w:rPr>
          <w:b/>
        </w:rPr>
        <w:lastRenderedPageBreak/>
        <w:t>Explain why the current budget can’t be redirected.</w:t>
      </w:r>
    </w:p>
    <w:p w:rsidR="00515F94" w:rsidRPr="00D11AF2" w:rsidRDefault="00415D9C" w:rsidP="00515F94">
      <w:pPr>
        <w:rPr>
          <w:sz w:val="20"/>
          <w:szCs w:val="20"/>
        </w:rPr>
      </w:pPr>
      <w:r w:rsidRPr="00D11AF2">
        <w:rPr>
          <w:sz w:val="20"/>
          <w:szCs w:val="20"/>
        </w:rPr>
        <w:t xml:space="preserve">Funds allocated to the Office of Recruitment and Admissions from state-appropriated sources </w:t>
      </w:r>
      <w:r w:rsidR="00E0516B" w:rsidRPr="00D11AF2">
        <w:rPr>
          <w:sz w:val="20"/>
          <w:szCs w:val="20"/>
        </w:rPr>
        <w:t xml:space="preserve">and application fee monies </w:t>
      </w:r>
      <w:r w:rsidRPr="00D11AF2">
        <w:rPr>
          <w:sz w:val="20"/>
          <w:szCs w:val="20"/>
        </w:rPr>
        <w:t xml:space="preserve">are already committed to meet the regular ongoing needs of the office and its processes.  </w:t>
      </w:r>
      <w:r w:rsidR="00515F94" w:rsidRPr="00D11AF2">
        <w:rPr>
          <w:sz w:val="20"/>
          <w:szCs w:val="20"/>
        </w:rPr>
        <w:t xml:space="preserve">If a portion of the current budget were to be redirected to advertise as proposed, there would be no resources remaining to follow-up </w:t>
      </w:r>
      <w:r w:rsidR="00E0516B" w:rsidRPr="00D11AF2">
        <w:rPr>
          <w:sz w:val="20"/>
          <w:szCs w:val="20"/>
        </w:rPr>
        <w:t>on the</w:t>
      </w:r>
      <w:r w:rsidR="00515F94" w:rsidRPr="00D11AF2">
        <w:rPr>
          <w:sz w:val="20"/>
          <w:szCs w:val="20"/>
        </w:rPr>
        <w:t xml:space="preserve"> leads produced. </w:t>
      </w:r>
    </w:p>
    <w:p w:rsidR="00415D9C" w:rsidRDefault="00415D9C" w:rsidP="00415D9C"/>
    <w:p w:rsidR="00415D9C" w:rsidRPr="00415D9C" w:rsidRDefault="00415D9C" w:rsidP="00415D9C">
      <w:pPr>
        <w:rPr>
          <w:b/>
        </w:rPr>
      </w:pPr>
      <w:r w:rsidRPr="00415D9C">
        <w:rPr>
          <w:b/>
        </w:rPr>
        <w:t>How many individuals will be benefited/served/impacted?</w:t>
      </w:r>
    </w:p>
    <w:p w:rsidR="00415D9C" w:rsidRPr="00D11AF2" w:rsidRDefault="00415D9C" w:rsidP="00415D9C">
      <w:pPr>
        <w:rPr>
          <w:sz w:val="20"/>
          <w:szCs w:val="20"/>
        </w:rPr>
      </w:pPr>
      <w:r w:rsidRPr="00D11AF2">
        <w:rPr>
          <w:sz w:val="20"/>
          <w:szCs w:val="20"/>
        </w:rPr>
        <w:t xml:space="preserve">Clayton State University as a whole would be affected by additional advertising efforts.   Increasing the number of applications submitted and the number of students enrolling at the university would have a significant impact upon the institution’s budget, programs, faculty, facilities, and student body.  </w:t>
      </w:r>
    </w:p>
    <w:p w:rsidR="00776869" w:rsidRPr="00D11AF2" w:rsidRDefault="00776869" w:rsidP="00415D9C">
      <w:pPr>
        <w:rPr>
          <w:sz w:val="20"/>
          <w:szCs w:val="20"/>
        </w:rPr>
      </w:pPr>
    </w:p>
    <w:p w:rsidR="00776869" w:rsidRDefault="00776869" w:rsidP="00415D9C">
      <w:r w:rsidRPr="00D11AF2">
        <w:rPr>
          <w:sz w:val="20"/>
          <w:szCs w:val="20"/>
        </w:rPr>
        <w:t>In addition, the advertising could have tangential benefits for other Clayton State goals besides enrollment.  Increased visibility could also affect fund development, community relations, and athletics.</w:t>
      </w:r>
    </w:p>
    <w:p w:rsidR="00776869" w:rsidRDefault="00776869" w:rsidP="00415D9C"/>
    <w:p w:rsidR="00776869" w:rsidRPr="00776869" w:rsidRDefault="00776869" w:rsidP="00415D9C">
      <w:pPr>
        <w:rPr>
          <w:b/>
        </w:rPr>
      </w:pPr>
      <w:r w:rsidRPr="00776869">
        <w:rPr>
          <w:b/>
        </w:rPr>
        <w:t>What are the consequences if the funds are not made available?</w:t>
      </w:r>
    </w:p>
    <w:p w:rsidR="00E448DB" w:rsidRPr="00D11AF2" w:rsidRDefault="00776869" w:rsidP="00415D9C">
      <w:pPr>
        <w:rPr>
          <w:sz w:val="20"/>
          <w:szCs w:val="20"/>
        </w:rPr>
      </w:pPr>
      <w:r w:rsidRPr="00D11AF2">
        <w:rPr>
          <w:sz w:val="20"/>
          <w:szCs w:val="20"/>
        </w:rPr>
        <w:t>The Office of Recruitment and Admissions will continue with its current level of marketing and public relations, but today’s competitive college market (more college and universities are vying for prospective students) and economic climate (advertising rates are very reas</w:t>
      </w:r>
      <w:r w:rsidR="00E448DB" w:rsidRPr="00D11AF2">
        <w:rPr>
          <w:sz w:val="20"/>
          <w:szCs w:val="20"/>
        </w:rPr>
        <w:t>onable</w:t>
      </w:r>
      <w:r w:rsidRPr="00D11AF2">
        <w:rPr>
          <w:sz w:val="20"/>
          <w:szCs w:val="20"/>
        </w:rPr>
        <w:t xml:space="preserve">) demonstrate that the time has never been better to capitalize upon additional funds for advertising purposes.  Indeed, the </w:t>
      </w:r>
      <w:r w:rsidR="00E448DB" w:rsidRPr="00D11AF2">
        <w:rPr>
          <w:sz w:val="20"/>
          <w:szCs w:val="20"/>
        </w:rPr>
        <w:t>resulting exposure could have implications for the entire university and its future.</w:t>
      </w:r>
    </w:p>
    <w:p w:rsidR="00E448DB" w:rsidRDefault="00E448DB" w:rsidP="00415D9C"/>
    <w:p w:rsidR="00415D9C" w:rsidRDefault="00415D9C" w:rsidP="00415D9C"/>
    <w:sectPr w:rsidR="00415D9C" w:rsidSect="00D11AF2">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AB4"/>
    <w:multiLevelType w:val="hybridMultilevel"/>
    <w:tmpl w:val="D78C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F1E37"/>
    <w:multiLevelType w:val="hybridMultilevel"/>
    <w:tmpl w:val="1E52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754BC"/>
    <w:multiLevelType w:val="hybridMultilevel"/>
    <w:tmpl w:val="8D04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B4E22"/>
    <w:multiLevelType w:val="hybridMultilevel"/>
    <w:tmpl w:val="2F88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B00C2"/>
    <w:multiLevelType w:val="hybridMultilevel"/>
    <w:tmpl w:val="47BAF8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F636DC2"/>
    <w:multiLevelType w:val="hybridMultilevel"/>
    <w:tmpl w:val="C3A4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44ADE"/>
    <w:multiLevelType w:val="hybridMultilevel"/>
    <w:tmpl w:val="3736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D101B"/>
    <w:multiLevelType w:val="hybridMultilevel"/>
    <w:tmpl w:val="F742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E60"/>
    <w:multiLevelType w:val="hybridMultilevel"/>
    <w:tmpl w:val="033ED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AE6831"/>
    <w:multiLevelType w:val="hybridMultilevel"/>
    <w:tmpl w:val="DF86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4"/>
  </w:num>
  <w:num w:numId="6">
    <w:abstractNumId w:val="0"/>
  </w:num>
  <w:num w:numId="7">
    <w:abstractNumId w:val="1"/>
  </w:num>
  <w:num w:numId="8">
    <w:abstractNumId w:val="3"/>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10F"/>
    <w:rsid w:val="0009505C"/>
    <w:rsid w:val="000F12E9"/>
    <w:rsid w:val="002A1F7C"/>
    <w:rsid w:val="003D2E5A"/>
    <w:rsid w:val="00415D9C"/>
    <w:rsid w:val="004A07CB"/>
    <w:rsid w:val="004A6B92"/>
    <w:rsid w:val="00515F94"/>
    <w:rsid w:val="005F010F"/>
    <w:rsid w:val="00723323"/>
    <w:rsid w:val="00776869"/>
    <w:rsid w:val="00784626"/>
    <w:rsid w:val="00A53701"/>
    <w:rsid w:val="00AA7DE4"/>
    <w:rsid w:val="00B8627A"/>
    <w:rsid w:val="00C61CBA"/>
    <w:rsid w:val="00D03E23"/>
    <w:rsid w:val="00D11AF2"/>
    <w:rsid w:val="00E031C6"/>
    <w:rsid w:val="00E0516B"/>
    <w:rsid w:val="00E448DB"/>
    <w:rsid w:val="00E76134"/>
    <w:rsid w:val="00EE7FB6"/>
    <w:rsid w:val="00FB4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0F"/>
    <w:pPr>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939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McElroy</dc:creator>
  <cp:keywords/>
  <dc:description/>
  <cp:lastModifiedBy>Scott McElroy</cp:lastModifiedBy>
  <cp:revision>2</cp:revision>
  <dcterms:created xsi:type="dcterms:W3CDTF">2010-03-11T13:11:00Z</dcterms:created>
  <dcterms:modified xsi:type="dcterms:W3CDTF">2010-03-11T13:11:00Z</dcterms:modified>
</cp:coreProperties>
</file>